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0B96" w14:textId="77777777" w:rsidR="00617EC7" w:rsidRDefault="0025439E">
      <w:pPr>
        <w:jc w:val="center"/>
        <w:rPr>
          <w:rFonts w:ascii="Arial" w:eastAsia="Arial" w:hAnsi="Arial" w:cs="Arial"/>
          <w:b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Fulfillment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by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SEUR duplica su capacidad para almacenamiento a temperatura controlada en su Centro Logístico de Illescas</w:t>
      </w:r>
    </w:p>
    <w:p w14:paraId="450861A4" w14:textId="77777777" w:rsidR="00617EC7" w:rsidRDefault="00254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demanda de almacenamiento que necesita una temperatura controlada en el rango de 15 grados ha aumentado en los últimos años. </w:t>
      </w:r>
    </w:p>
    <w:p w14:paraId="6D96BCD9" w14:textId="77777777" w:rsidR="00617EC7" w:rsidRDefault="00254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productos que necesitan esta temperatura van desde productos cosméticos hasta vino, chocolate o complementos alimenticios.</w:t>
      </w:r>
    </w:p>
    <w:p w14:paraId="4AD7BCBA" w14:textId="77777777" w:rsidR="00617EC7" w:rsidRDefault="00617EC7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720"/>
        <w:jc w:val="both"/>
        <w:rPr>
          <w:rFonts w:ascii="Arial" w:eastAsia="Arial" w:hAnsi="Arial" w:cs="Arial"/>
        </w:rPr>
      </w:pPr>
    </w:p>
    <w:p w14:paraId="51701AFD" w14:textId="38346890" w:rsidR="00617EC7" w:rsidRDefault="0025439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Madrid, 27</w:t>
      </w:r>
      <w:r>
        <w:rPr>
          <w:rFonts w:ascii="Arial" w:eastAsia="Arial" w:hAnsi="Arial" w:cs="Arial"/>
          <w:b/>
        </w:rPr>
        <w:t xml:space="preserve"> de mayo de 2025.- </w:t>
      </w:r>
      <w:r>
        <w:rPr>
          <w:rFonts w:ascii="Arial" w:eastAsia="Arial" w:hAnsi="Arial" w:cs="Arial"/>
        </w:rPr>
        <w:t xml:space="preserve">El centro logístico de </w:t>
      </w:r>
      <w:proofErr w:type="spellStart"/>
      <w:r>
        <w:rPr>
          <w:rFonts w:ascii="Arial" w:eastAsia="Arial" w:hAnsi="Arial" w:cs="Arial"/>
        </w:rPr>
        <w:t>Fulfillment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SEUR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en Illescas, que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integra sus soluciones de almacenaje, </w:t>
      </w:r>
      <w:proofErr w:type="spellStart"/>
      <w:r>
        <w:rPr>
          <w:rFonts w:ascii="Arial" w:eastAsia="Arial" w:hAnsi="Arial" w:cs="Arial"/>
        </w:rPr>
        <w:t>picking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packing</w:t>
      </w:r>
      <w:proofErr w:type="spellEnd"/>
      <w:r>
        <w:rPr>
          <w:rFonts w:ascii="Arial" w:eastAsia="Arial" w:hAnsi="Arial" w:cs="Arial"/>
        </w:rPr>
        <w:t xml:space="preserve"> y transporte nacional e internacional, ha acometido una ampliación de su cámara de temperatura controlada de 700m2 a 1.400m2. De esta manera, duplica su capacidad para dar respuesta a la gran demanda de la gestión de productos que necesitan este tipo de conservación. Este aumento permitirá a la compañía pasar de tener 1.350 huecos / palet a 2.700, lo que supondrá un increment</w:t>
      </w:r>
      <w:r>
        <w:rPr>
          <w:rFonts w:ascii="Arial" w:eastAsia="Arial" w:hAnsi="Arial" w:cs="Arial"/>
        </w:rPr>
        <w:t xml:space="preserve">o de un 100% su espacio de almacenamiento a temperatura controlada. </w:t>
      </w:r>
    </w:p>
    <w:p w14:paraId="54C83992" w14:textId="77777777" w:rsidR="00617EC7" w:rsidRDefault="00254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nuevo emplazamiento ampliado albergará principalmente productos como vino, artículos de cosmética o alimentos envasados al vacío. La cámara cuenta con sensores para monitorizar la temperatura y la humedad dentro de la cámara en tiempo real, y registra el histórico, ofreciendo su trazabilidad.</w:t>
      </w:r>
    </w:p>
    <w:p w14:paraId="205571D4" w14:textId="77777777" w:rsidR="00617EC7" w:rsidRDefault="00254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mercancía corresponde tanto a operativas B2B (para empresas) y B2C (para consumidores final), esta última enfocada, sobre todo, al </w:t>
      </w:r>
      <w:proofErr w:type="spellStart"/>
      <w:r>
        <w:rPr>
          <w:rFonts w:ascii="Arial" w:eastAsia="Arial" w:hAnsi="Arial" w:cs="Arial"/>
        </w:rPr>
        <w:t>ecommerce</w:t>
      </w:r>
      <w:proofErr w:type="spellEnd"/>
      <w:r>
        <w:rPr>
          <w:rFonts w:ascii="Arial" w:eastAsia="Arial" w:hAnsi="Arial" w:cs="Arial"/>
        </w:rPr>
        <w:t>.</w:t>
      </w:r>
    </w:p>
    <w:p w14:paraId="08FC990D" w14:textId="77777777" w:rsidR="00617EC7" w:rsidRDefault="00254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servicio combinado con el almacén fiscal y el </w:t>
      </w:r>
      <w:proofErr w:type="spellStart"/>
      <w:r>
        <w:rPr>
          <w:rFonts w:ascii="Arial" w:eastAsia="Arial" w:hAnsi="Arial" w:cs="Arial"/>
        </w:rPr>
        <w:t>expertise</w:t>
      </w:r>
      <w:proofErr w:type="spellEnd"/>
      <w:r>
        <w:rPr>
          <w:rFonts w:ascii="Arial" w:eastAsia="Arial" w:hAnsi="Arial" w:cs="Arial"/>
        </w:rPr>
        <w:t xml:space="preserve"> de la compañía para la venta a distancia, está permitiendo a los clientes de SEUR poder realizar venta online (B2C) de productos sujetos a impuestos especiales en otros países y expandir así su negocio y su masa de potenciales clientes. </w:t>
      </w:r>
    </w:p>
    <w:p w14:paraId="5D8842B1" w14:textId="77777777" w:rsidR="00617EC7" w:rsidRDefault="00254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Además, para complementar la propuesta de valor, este centro dispone del certificado necesario para almacenar y manipular productos ecológicos manteniendo su categoría, así como del registro sanitario/alimentario obligatorio para la manipulación y almacenaje de productos alimentarios. Igualmente, se realiza el control de lotes y caducidades aplicando el criterio FEFO (</w:t>
      </w:r>
      <w:proofErr w:type="spellStart"/>
      <w:r>
        <w:rPr>
          <w:rFonts w:ascii="Arial" w:eastAsia="Arial" w:hAnsi="Arial" w:cs="Arial"/>
        </w:rPr>
        <w:t>First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Expired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First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Out</w:t>
      </w:r>
      <w:proofErr w:type="spellEnd"/>
      <w:r>
        <w:rPr>
          <w:rFonts w:ascii="Arial" w:eastAsia="Arial" w:hAnsi="Arial" w:cs="Arial"/>
        </w:rPr>
        <w:t>) a la salida de la mercancía.</w:t>
      </w:r>
    </w:p>
    <w:p w14:paraId="4F735844" w14:textId="77777777" w:rsidR="00617EC7" w:rsidRDefault="0025439E">
      <w:pPr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Fulfillment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by</w:t>
      </w:r>
      <w:proofErr w:type="spellEnd"/>
      <w:r>
        <w:rPr>
          <w:rFonts w:ascii="Arial" w:eastAsia="Arial" w:hAnsi="Arial" w:cs="Arial"/>
          <w:b/>
        </w:rPr>
        <w:t xml:space="preserve"> SEUR, logística integrada de alto valor</w:t>
      </w:r>
    </w:p>
    <w:p w14:paraId="170E0BFC" w14:textId="77777777" w:rsidR="00617EC7" w:rsidRDefault="00254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año pasado SEUR dio un paso más en sus servicios de logística 3PL con la creación de la división </w:t>
      </w:r>
      <w:proofErr w:type="spellStart"/>
      <w:r>
        <w:rPr>
          <w:rFonts w:ascii="Arial" w:eastAsia="Arial" w:hAnsi="Arial" w:cs="Arial"/>
        </w:rPr>
        <w:t>Fulfillment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SEUR a través de la cual ofrece un único interlocutor a sus clientes para la gestión de toda la cadena de valor. Para la gestión de la logística integral que ofrece </w:t>
      </w:r>
      <w:proofErr w:type="spellStart"/>
      <w:r>
        <w:rPr>
          <w:rFonts w:ascii="Arial" w:eastAsia="Arial" w:hAnsi="Arial" w:cs="Arial"/>
        </w:rPr>
        <w:t>Fulfillment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SEUR, la compañía dispone de más de 70.000m2 en cinco puntos clave de España.</w:t>
      </w:r>
    </w:p>
    <w:p w14:paraId="10EE8FE0" w14:textId="77777777" w:rsidR="00617EC7" w:rsidRDefault="0025439E">
      <w:pPr>
        <w:spacing w:before="240" w:after="24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Acerca de SEUR</w:t>
      </w:r>
    </w:p>
    <w:p w14:paraId="2B12493C" w14:textId="77777777" w:rsidR="00617EC7" w:rsidRDefault="0025439E">
      <w:pPr>
        <w:spacing w:before="240" w:after="240" w:line="276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Nuestros 80 años de historia nos han permitido ser pioneros en el transporte urgente en España y liderar el sector con tres grandes ejes de negocio: internacional, comercio electrónico y el servicio de frío enfocado a la alimentación online.</w:t>
      </w:r>
    </w:p>
    <w:p w14:paraId="779059DC" w14:textId="77777777" w:rsidR="00617EC7" w:rsidRDefault="0025439E">
      <w:pPr>
        <w:keepNext/>
        <w:keepLines/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 xml:space="preserve">Gracias a nuestros 10.000 profesionales y nuestra flota de 6.500 vehículos, damos servicio a empresas de todos los tamaños y sectores, y como parte de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Geopost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 una de las mayores redes internacionales de transporte urgente, realizamos entregas en todo el mundo.</w:t>
      </w:r>
    </w:p>
    <w:p w14:paraId="77D44FAB" w14:textId="77777777" w:rsidR="00617EC7" w:rsidRDefault="00617EC7">
      <w:pPr>
        <w:keepNext/>
        <w:keepLines/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70151FA" w14:textId="77777777" w:rsidR="00617EC7" w:rsidRDefault="0025439E">
      <w:pPr>
        <w:keepNext/>
        <w:keepLines/>
        <w:spacing w:after="0" w:line="276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Invertimos constantemente en innovación e infraestructuras para estar más cerca de nuestros clientes y ofrecerles mayor flexibilidad a través de soluciones como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Predict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sistema interactivo para concertar la entrega, o SEUR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Now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, para las entregas súper urgentes en una o dos horas. Apostamos por la logística sostenible con la integración de sistemas de reparto alternativos en grandes ciudades como el uso de vehículos ecológicos,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hubs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urbanos o nuestra red de puntos Pickup con más de 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00 tiendas de conveniencia y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lockers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78B2AB39" w14:textId="77777777" w:rsidR="00617EC7" w:rsidRDefault="0025439E">
      <w:pPr>
        <w:spacing w:before="240" w:after="0" w:line="36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Para más información:</w:t>
      </w:r>
    </w:p>
    <w:p w14:paraId="795FADE1" w14:textId="77777777" w:rsidR="00617EC7" w:rsidRDefault="0025439E">
      <w:pPr>
        <w:spacing w:before="240" w:after="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8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https://twitter.com/SEUR</w:t>
        </w:r>
      </w:hyperlink>
    </w:p>
    <w:p w14:paraId="669E7A76" w14:textId="77777777" w:rsidR="00617EC7" w:rsidRDefault="0025439E">
      <w:pPr>
        <w:spacing w:before="240" w:after="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9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68CCE618" w14:textId="77777777" w:rsidR="00617EC7" w:rsidRDefault="0025439E">
      <w:pPr>
        <w:spacing w:before="240" w:after="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10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17A40FC5" w14:textId="77777777" w:rsidR="00617EC7" w:rsidRDefault="0025439E">
      <w:pPr>
        <w:spacing w:before="240" w:after="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Gabinete de prensa / Agencia de comunicación SEUR</w:t>
      </w:r>
    </w:p>
    <w:tbl>
      <w:tblPr>
        <w:tblStyle w:val="a6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245"/>
      </w:tblGrid>
      <w:tr w:rsidR="00617EC7" w14:paraId="1FBCD313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C55F" w14:textId="77777777" w:rsidR="00617EC7" w:rsidRDefault="0025439E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Eugenia Llorca/ Beatriz Molero</w:t>
            </w:r>
          </w:p>
          <w:p w14:paraId="218987F5" w14:textId="77777777" w:rsidR="00617EC7" w:rsidRDefault="0025439E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SEUR</w:t>
            </w:r>
          </w:p>
          <w:p w14:paraId="34318F8E" w14:textId="77777777" w:rsidR="00617EC7" w:rsidRDefault="00617EC7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1459" w14:textId="77777777" w:rsidR="00617EC7" w:rsidRDefault="0025439E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Elena Barrera / Rubén Santiago/ Virginia Sánchez</w:t>
            </w:r>
          </w:p>
          <w:p w14:paraId="49E28B66" w14:textId="77777777" w:rsidR="00617EC7" w:rsidRPr="0025439E" w:rsidRDefault="0025439E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25439E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US"/>
              </w:rPr>
              <w:t>TINKLE</w:t>
            </w:r>
          </w:p>
          <w:p w14:paraId="130AA5A5" w14:textId="77777777" w:rsidR="00617EC7" w:rsidRPr="0025439E" w:rsidRDefault="0025439E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25439E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91 702 10 10 </w:t>
            </w:r>
          </w:p>
          <w:p w14:paraId="1A815966" w14:textId="77777777" w:rsidR="00617EC7" w:rsidRPr="0025439E" w:rsidRDefault="0025439E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US"/>
              </w:rPr>
            </w:pPr>
            <w:hyperlink r:id="rId11">
              <w:r w:rsidRPr="0025439E">
                <w:rPr>
                  <w:rFonts w:ascii="Arial" w:eastAsia="Arial" w:hAnsi="Arial" w:cs="Arial"/>
                  <w:b/>
                  <w:color w:val="0563C1"/>
                  <w:sz w:val="16"/>
                  <w:szCs w:val="16"/>
                  <w:u w:val="single"/>
                  <w:lang w:val="en-US"/>
                </w:rPr>
                <w:t>elena.barrera@tinkle.es</w:t>
              </w:r>
            </w:hyperlink>
          </w:p>
          <w:p w14:paraId="6F4F6935" w14:textId="77777777" w:rsidR="00617EC7" w:rsidRPr="0025439E" w:rsidRDefault="0025439E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US"/>
              </w:rPr>
            </w:pPr>
            <w:r w:rsidRPr="0025439E">
              <w:rPr>
                <w:rFonts w:ascii="Arial" w:eastAsia="Arial" w:hAnsi="Arial" w:cs="Arial"/>
                <w:b/>
                <w:color w:val="0563C1"/>
                <w:sz w:val="16"/>
                <w:szCs w:val="16"/>
                <w:lang w:val="en-US"/>
              </w:rPr>
              <w:t>ruben.santiago@tinkle.es</w:t>
            </w:r>
          </w:p>
          <w:p w14:paraId="5483F736" w14:textId="77777777" w:rsidR="00617EC7" w:rsidRDefault="0025439E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virginia.sanchez@tinkle.es</w:t>
            </w:r>
          </w:p>
          <w:p w14:paraId="65AFAE41" w14:textId="77777777" w:rsidR="00617EC7" w:rsidRDefault="00617EC7">
            <w:pPr>
              <w:spacing w:before="240" w:after="0" w:line="276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</w:p>
        </w:tc>
      </w:tr>
    </w:tbl>
    <w:p w14:paraId="29FA431D" w14:textId="77777777" w:rsidR="00617EC7" w:rsidRDefault="00617EC7">
      <w:pPr>
        <w:spacing w:before="240" w:line="360" w:lineRule="auto"/>
        <w:jc w:val="both"/>
      </w:pPr>
      <w:bookmarkStart w:id="0" w:name="_heading=h.3t013sore4mb" w:colFirst="0" w:colLast="0"/>
      <w:bookmarkEnd w:id="0"/>
    </w:p>
    <w:sectPr w:rsidR="00617EC7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56B4F" w14:textId="77777777" w:rsidR="0025439E" w:rsidRDefault="0025439E">
      <w:pPr>
        <w:spacing w:after="0" w:line="240" w:lineRule="auto"/>
      </w:pPr>
      <w:r>
        <w:separator/>
      </w:r>
    </w:p>
  </w:endnote>
  <w:endnote w:type="continuationSeparator" w:id="0">
    <w:p w14:paraId="42C3B937" w14:textId="77777777" w:rsidR="0025439E" w:rsidRDefault="0025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75E13" w14:textId="77777777" w:rsidR="0025439E" w:rsidRDefault="0025439E">
      <w:pPr>
        <w:spacing w:after="0" w:line="240" w:lineRule="auto"/>
      </w:pPr>
      <w:r>
        <w:separator/>
      </w:r>
    </w:p>
  </w:footnote>
  <w:footnote w:type="continuationSeparator" w:id="0">
    <w:p w14:paraId="34D4FEE1" w14:textId="77777777" w:rsidR="0025439E" w:rsidRDefault="0025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CD14" w14:textId="77777777" w:rsidR="00617EC7" w:rsidRDefault="0025439E">
    <w: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8E23EDA" wp14:editId="0A91EB91">
          <wp:simplePos x="0" y="0"/>
          <wp:positionH relativeFrom="column">
            <wp:posOffset>4010025</wp:posOffset>
          </wp:positionH>
          <wp:positionV relativeFrom="paragraph">
            <wp:posOffset>-151762</wp:posOffset>
          </wp:positionV>
          <wp:extent cx="1257300" cy="28384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0399"/>
                  <a:stretch>
                    <a:fillRect/>
                  </a:stretch>
                </pic:blipFill>
                <pic:spPr>
                  <a:xfrm>
                    <a:off x="0" y="0"/>
                    <a:ext cx="1257300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B06E043" wp14:editId="71D621DC">
          <wp:simplePos x="0" y="0"/>
          <wp:positionH relativeFrom="column">
            <wp:posOffset>14608</wp:posOffset>
          </wp:positionH>
          <wp:positionV relativeFrom="paragraph">
            <wp:posOffset>-199387</wp:posOffset>
          </wp:positionV>
          <wp:extent cx="756285" cy="419100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48441"/>
                  <a:stretch>
                    <a:fillRect/>
                  </a:stretch>
                </pic:blipFill>
                <pic:spPr>
                  <a:xfrm>
                    <a:off x="0" y="0"/>
                    <a:ext cx="75628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31665"/>
    <w:multiLevelType w:val="multilevel"/>
    <w:tmpl w:val="9558D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184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C7"/>
    <w:rsid w:val="0025439E"/>
    <w:rsid w:val="00617EC7"/>
    <w:rsid w:val="00D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9911"/>
  <w15:docId w15:val="{68076CD3-D5E4-450B-A7DD-D018452E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7D08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30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127"/>
  </w:style>
  <w:style w:type="paragraph" w:styleId="Piedepgina">
    <w:name w:val="footer"/>
    <w:basedOn w:val="Normal"/>
    <w:link w:val="PiedepginaCar"/>
    <w:uiPriority w:val="99"/>
    <w:unhideWhenUsed/>
    <w:rsid w:val="00730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127"/>
  </w:style>
  <w:style w:type="paragraph" w:styleId="Prrafodelista">
    <w:name w:val="List Paragraph"/>
    <w:basedOn w:val="Normal"/>
    <w:uiPriority w:val="34"/>
    <w:qFormat/>
    <w:rsid w:val="00ED1D1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F29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29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29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29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2901"/>
    <w:rPr>
      <w:b/>
      <w:bCs/>
      <w:sz w:val="20"/>
      <w:szCs w:val="20"/>
    </w:r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7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50"/>
    <w:rPr>
      <w:rFonts w:ascii="Segoe UI" w:hAnsi="Segoe UI" w:cs="Segoe UI"/>
      <w:sz w:val="18"/>
      <w:szCs w:val="18"/>
    </w:r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EU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barrera@tinkle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seur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SEU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jgZYzuG7EXWXBDYNfYd4XGlZA==">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MENDEZ TARIFA</dc:creator>
  <cp:lastModifiedBy>Virginia Sanchez</cp:lastModifiedBy>
  <cp:revision>2</cp:revision>
  <dcterms:created xsi:type="dcterms:W3CDTF">2025-05-05T09:37:00Z</dcterms:created>
  <dcterms:modified xsi:type="dcterms:W3CDTF">2025-05-27T07:45:00Z</dcterms:modified>
</cp:coreProperties>
</file>