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B28D8" w:rsidRDefault="008E0641">
      <w:pPr>
        <w:jc w:val="center"/>
        <w:rPr>
          <w:rFonts w:ascii="Arial" w:eastAsia="Arial" w:hAnsi="Arial" w:cs="Arial"/>
          <w:b/>
          <w:sz w:val="38"/>
          <w:szCs w:val="38"/>
        </w:rPr>
      </w:pPr>
      <w:r>
        <w:rPr>
          <w:rFonts w:ascii="Arial" w:eastAsia="Arial" w:hAnsi="Arial" w:cs="Arial"/>
          <w:b/>
          <w:sz w:val="38"/>
          <w:szCs w:val="38"/>
        </w:rPr>
        <w:t>SEUR entrega más de 21 millones de paquetes con su flota de bajas emisiones y reduce casi 5.000 toneladas de CO2 en 2023</w:t>
      </w:r>
    </w:p>
    <w:p w14:paraId="00000002" w14:textId="77777777" w:rsidR="00EB28D8" w:rsidRDefault="00EB28D8">
      <w:pPr>
        <w:rPr>
          <w:rFonts w:ascii="Arial" w:eastAsia="Arial" w:hAnsi="Arial" w:cs="Arial"/>
          <w:b/>
          <w:color w:val="FF0000"/>
          <w:sz w:val="20"/>
          <w:szCs w:val="20"/>
        </w:rPr>
      </w:pPr>
    </w:p>
    <w:p w14:paraId="00000003" w14:textId="77777777" w:rsidR="00EB28D8" w:rsidRDefault="00EB28D8">
      <w:pPr>
        <w:pBdr>
          <w:top w:val="nil"/>
          <w:left w:val="nil"/>
          <w:bottom w:val="nil"/>
          <w:right w:val="nil"/>
          <w:between w:val="nil"/>
        </w:pBdr>
        <w:shd w:val="clear" w:color="auto" w:fill="FFFFFF"/>
        <w:ind w:left="720"/>
        <w:jc w:val="both"/>
        <w:rPr>
          <w:rFonts w:ascii="Arial" w:eastAsia="Arial" w:hAnsi="Arial" w:cs="Arial"/>
          <w:color w:val="000000"/>
        </w:rPr>
      </w:pPr>
    </w:p>
    <w:p w14:paraId="00000004" w14:textId="77777777" w:rsidR="00EB28D8" w:rsidRDefault="008E0641">
      <w:pPr>
        <w:numPr>
          <w:ilvl w:val="0"/>
          <w:numId w:val="1"/>
        </w:numPr>
        <w:pBdr>
          <w:top w:val="nil"/>
          <w:left w:val="nil"/>
          <w:bottom w:val="nil"/>
          <w:right w:val="nil"/>
          <w:between w:val="nil"/>
        </w:pBdr>
        <w:shd w:val="clear" w:color="auto" w:fill="FFFFFF"/>
        <w:jc w:val="both"/>
        <w:rPr>
          <w:rFonts w:ascii="Arial" w:eastAsia="Arial" w:hAnsi="Arial" w:cs="Arial"/>
          <w:color w:val="000000"/>
        </w:rPr>
      </w:pPr>
      <w:r>
        <w:rPr>
          <w:rFonts w:ascii="Arial" w:eastAsia="Arial" w:hAnsi="Arial" w:cs="Arial"/>
          <w:color w:val="000000"/>
        </w:rPr>
        <w:t xml:space="preserve">La compañía aumentó su flota de bajas emisiones hasta el 20% del total el año pasado, realizando más de 15,5 millones de kilómetros con estos vehículos. </w:t>
      </w:r>
    </w:p>
    <w:p w14:paraId="00000005" w14:textId="77777777" w:rsidR="00EB28D8" w:rsidRDefault="00EB28D8">
      <w:pPr>
        <w:pBdr>
          <w:top w:val="nil"/>
          <w:left w:val="nil"/>
          <w:bottom w:val="nil"/>
          <w:right w:val="nil"/>
          <w:between w:val="nil"/>
        </w:pBdr>
        <w:shd w:val="clear" w:color="auto" w:fill="FFFFFF"/>
        <w:jc w:val="both"/>
        <w:rPr>
          <w:rFonts w:ascii="Arial" w:eastAsia="Arial" w:hAnsi="Arial" w:cs="Arial"/>
          <w:color w:val="000000"/>
        </w:rPr>
      </w:pPr>
    </w:p>
    <w:p w14:paraId="00000006" w14:textId="77777777" w:rsidR="00EB28D8" w:rsidRDefault="00EB28D8">
      <w:pPr>
        <w:pBdr>
          <w:top w:val="nil"/>
          <w:left w:val="nil"/>
          <w:bottom w:val="nil"/>
          <w:right w:val="nil"/>
          <w:between w:val="nil"/>
        </w:pBdr>
        <w:shd w:val="clear" w:color="auto" w:fill="FFFFFF"/>
        <w:ind w:left="720"/>
        <w:jc w:val="both"/>
        <w:rPr>
          <w:rFonts w:ascii="Arial" w:eastAsia="Arial" w:hAnsi="Arial" w:cs="Arial"/>
          <w:color w:val="000000"/>
        </w:rPr>
      </w:pPr>
    </w:p>
    <w:p w14:paraId="00000007" w14:textId="3733C718" w:rsidR="00EB28D8" w:rsidRDefault="008E0641">
      <w:pPr>
        <w:shd w:val="clear" w:color="auto" w:fill="FFFFFF"/>
        <w:jc w:val="both"/>
        <w:rPr>
          <w:rFonts w:ascii="Arial" w:eastAsia="Arial" w:hAnsi="Arial" w:cs="Arial"/>
          <w:sz w:val="22"/>
          <w:szCs w:val="22"/>
        </w:rPr>
      </w:pPr>
      <w:r>
        <w:rPr>
          <w:rFonts w:ascii="Arial" w:eastAsia="Arial" w:hAnsi="Arial" w:cs="Arial"/>
          <w:b/>
          <w:sz w:val="21"/>
          <w:szCs w:val="21"/>
        </w:rPr>
        <w:t xml:space="preserve">Madrid, </w:t>
      </w:r>
      <w:r w:rsidR="00932D3B">
        <w:rPr>
          <w:rFonts w:ascii="Arial" w:eastAsia="Arial" w:hAnsi="Arial" w:cs="Arial"/>
          <w:b/>
          <w:sz w:val="21"/>
          <w:szCs w:val="21"/>
        </w:rPr>
        <w:t>11</w:t>
      </w:r>
      <w:r>
        <w:rPr>
          <w:rFonts w:ascii="Arial" w:eastAsia="Arial" w:hAnsi="Arial" w:cs="Arial"/>
          <w:b/>
          <w:sz w:val="21"/>
          <w:szCs w:val="21"/>
        </w:rPr>
        <w:t xml:space="preserve"> de </w:t>
      </w:r>
      <w:r w:rsidR="00932D3B">
        <w:rPr>
          <w:rFonts w:ascii="Arial" w:eastAsia="Arial" w:hAnsi="Arial" w:cs="Arial"/>
          <w:b/>
          <w:sz w:val="21"/>
          <w:szCs w:val="21"/>
        </w:rPr>
        <w:t>noviembre</w:t>
      </w:r>
      <w:r>
        <w:rPr>
          <w:rFonts w:ascii="Arial" w:eastAsia="Arial" w:hAnsi="Arial" w:cs="Arial"/>
          <w:b/>
          <w:sz w:val="21"/>
          <w:szCs w:val="21"/>
        </w:rPr>
        <w:t xml:space="preserve"> de 2024.</w:t>
      </w:r>
      <w:r>
        <w:rPr>
          <w:rFonts w:ascii="Arial" w:eastAsia="Arial" w:hAnsi="Arial" w:cs="Arial"/>
          <w:sz w:val="21"/>
          <w:szCs w:val="21"/>
        </w:rPr>
        <w:t xml:space="preserve"> </w:t>
      </w:r>
      <w:r>
        <w:rPr>
          <w:rFonts w:ascii="Arial" w:eastAsia="Arial" w:hAnsi="Arial" w:cs="Arial"/>
          <w:color w:val="222222"/>
        </w:rPr>
        <w:t>– </w:t>
      </w:r>
      <w:r>
        <w:rPr>
          <w:rFonts w:ascii="Arial" w:eastAsia="Arial" w:hAnsi="Arial" w:cs="Arial"/>
          <w:sz w:val="22"/>
          <w:szCs w:val="22"/>
        </w:rPr>
        <w:t xml:space="preserve">SEUR, la compañía líder en el transporte urgente en España, acaba de publicar, junto con Geopost, grupo al que pertenece, los resultados de su estrategia de sostenibilidad en la Memoria de 2023. Los datos siguen la tendencia de los años precedentes, según los cuales SEUR continúa avanzando y mejorando la implantación de medidas sostenibles que le permitan convertirse en un referente del sector en este campo. </w:t>
      </w:r>
    </w:p>
    <w:p w14:paraId="00000008" w14:textId="77777777" w:rsidR="00EB28D8" w:rsidRDefault="00EB28D8">
      <w:pPr>
        <w:shd w:val="clear" w:color="auto" w:fill="FFFFFF"/>
        <w:jc w:val="both"/>
        <w:rPr>
          <w:rFonts w:ascii="Arial" w:eastAsia="Arial" w:hAnsi="Arial" w:cs="Arial"/>
          <w:sz w:val="22"/>
          <w:szCs w:val="22"/>
        </w:rPr>
      </w:pPr>
    </w:p>
    <w:p w14:paraId="00000009" w14:textId="77777777" w:rsidR="00EB28D8" w:rsidRDefault="008E0641">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Prueba de ello es que SEUR se ha convertido este año en la primera compañía del sector del transporte y logística, a través de su división de mensajería urgente SEUR Now, certificada con el sello de movilidad responsable y seguridad vial MORE® de PONS Mobility, consultora internacional líder en movilidad sostenible y segura, que está certificada por SGS, reconocida como el referente mundial en sostenibilidad, calidad e integridad. </w:t>
      </w:r>
    </w:p>
    <w:p w14:paraId="0000000A" w14:textId="77777777" w:rsidR="00EB28D8" w:rsidRDefault="00EB28D8">
      <w:pPr>
        <w:shd w:val="clear" w:color="auto" w:fill="FFFFFF"/>
        <w:jc w:val="both"/>
        <w:rPr>
          <w:rFonts w:ascii="Arial" w:eastAsia="Arial" w:hAnsi="Arial" w:cs="Arial"/>
          <w:sz w:val="22"/>
          <w:szCs w:val="22"/>
        </w:rPr>
      </w:pPr>
    </w:p>
    <w:p w14:paraId="0000000B" w14:textId="77777777" w:rsidR="00EB28D8" w:rsidRDefault="008E0641">
      <w:pPr>
        <w:shd w:val="clear" w:color="auto" w:fill="FFFFFF"/>
        <w:jc w:val="both"/>
        <w:rPr>
          <w:rFonts w:ascii="Arial" w:eastAsia="Arial" w:hAnsi="Arial" w:cs="Arial"/>
          <w:b/>
          <w:sz w:val="22"/>
          <w:szCs w:val="22"/>
        </w:rPr>
      </w:pPr>
      <w:r>
        <w:rPr>
          <w:rFonts w:ascii="Arial" w:eastAsia="Arial" w:hAnsi="Arial" w:cs="Arial"/>
          <w:b/>
          <w:sz w:val="22"/>
          <w:szCs w:val="22"/>
        </w:rPr>
        <w:t>La flota de bajas emisiones de SEUR da más de 390 vueltas a la Tierra en un año</w:t>
      </w:r>
    </w:p>
    <w:p w14:paraId="0000000C" w14:textId="77777777" w:rsidR="00EB28D8" w:rsidRDefault="00EB28D8">
      <w:pPr>
        <w:shd w:val="clear" w:color="auto" w:fill="FFFFFF"/>
        <w:jc w:val="both"/>
        <w:rPr>
          <w:rFonts w:ascii="Arial" w:eastAsia="Arial" w:hAnsi="Arial" w:cs="Arial"/>
          <w:sz w:val="22"/>
          <w:szCs w:val="22"/>
        </w:rPr>
      </w:pPr>
    </w:p>
    <w:p w14:paraId="0000000D" w14:textId="77777777" w:rsidR="00EB28D8" w:rsidRDefault="008E0641">
      <w:pPr>
        <w:jc w:val="both"/>
        <w:rPr>
          <w:rFonts w:ascii="Arial" w:eastAsia="Arial" w:hAnsi="Arial" w:cs="Arial"/>
          <w:sz w:val="22"/>
          <w:szCs w:val="22"/>
        </w:rPr>
      </w:pPr>
      <w:r>
        <w:rPr>
          <w:rFonts w:ascii="Arial" w:eastAsia="Arial" w:hAnsi="Arial" w:cs="Arial"/>
          <w:sz w:val="22"/>
          <w:szCs w:val="22"/>
        </w:rPr>
        <w:t>Vivimos un momento crucial para conseguir revertir el cambio climático y sus efectos. La subida generalizada de las temperaturas o los fenómenos meteorológicos extremos que impactan directamente en la forma de vida de las personas requieren acciones directas para hacer frente a sus consecuencias. SEUR ha tomado siempre una postura proactiva como agente fundamental en esta lucha, así ha formado parte de iniciativas como, por ejemplo, la de la hoja de ruta diseñada por la ONU y respaldada por la comunidad internacional: los Objetivos de Desarrollo Sostenible. Entre ellos, se encuentra el objetivo concreto de “adoptar medidas urgentes para combatir el cambio climático y sus efectos”.</w:t>
      </w:r>
    </w:p>
    <w:p w14:paraId="0000000E" w14:textId="77777777" w:rsidR="00EB28D8" w:rsidRDefault="00EB28D8">
      <w:pPr>
        <w:shd w:val="clear" w:color="auto" w:fill="FFFFFF"/>
        <w:jc w:val="both"/>
        <w:rPr>
          <w:rFonts w:ascii="Arial" w:eastAsia="Arial" w:hAnsi="Arial" w:cs="Arial"/>
          <w:sz w:val="22"/>
          <w:szCs w:val="22"/>
        </w:rPr>
      </w:pPr>
    </w:p>
    <w:p w14:paraId="0000000F" w14:textId="77777777" w:rsidR="00EB28D8" w:rsidRDefault="008E0641">
      <w:pPr>
        <w:shd w:val="clear" w:color="auto" w:fill="FFFFFF"/>
        <w:jc w:val="both"/>
        <w:rPr>
          <w:rFonts w:ascii="Arial" w:eastAsia="Arial" w:hAnsi="Arial" w:cs="Arial"/>
          <w:sz w:val="22"/>
          <w:szCs w:val="22"/>
        </w:rPr>
      </w:pPr>
      <w:r>
        <w:rPr>
          <w:rFonts w:ascii="Arial" w:eastAsia="Arial" w:hAnsi="Arial" w:cs="Arial"/>
          <w:sz w:val="22"/>
          <w:szCs w:val="22"/>
        </w:rPr>
        <w:t xml:space="preserve">En este sentido, SEUR lleva años desarrollando una estrategia de sostenibilidad que </w:t>
      </w:r>
      <w:r>
        <w:t xml:space="preserve">     </w:t>
      </w:r>
      <w:r>
        <w:rPr>
          <w:rFonts w:ascii="Arial" w:eastAsia="Arial" w:hAnsi="Arial" w:cs="Arial"/>
          <w:sz w:val="22"/>
          <w:szCs w:val="22"/>
        </w:rPr>
        <w:t>le llevará a conseguir las cero emisiones netas para el año 2040. Para lograrlo, la compañía ha desplegado un importante plan de inversión para transformar su parque de vehículos en una flota sostenible, que supone ya el 20% del total. La compañía realizó 15.647.835 millones de kilómetros con esta flota durante 2023, y entregó más de 21,5 millones de paquetes. Esto ha permitido que SEUR que solo se produzcan, de media, 0,9 kg de CO2 por cada paquete entregado, lo que se ha traducido en la reducción de 4.829 toneladas de CO2 en total gracias a esta flota durante el año 2023.</w:t>
      </w:r>
    </w:p>
    <w:p w14:paraId="00000010" w14:textId="77777777" w:rsidR="00EB28D8" w:rsidRDefault="00EB28D8">
      <w:pPr>
        <w:shd w:val="clear" w:color="auto" w:fill="FFFFFF"/>
        <w:jc w:val="both"/>
        <w:rPr>
          <w:rFonts w:ascii="Arial" w:eastAsia="Arial" w:hAnsi="Arial" w:cs="Arial"/>
          <w:sz w:val="22"/>
          <w:szCs w:val="22"/>
        </w:rPr>
      </w:pPr>
    </w:p>
    <w:p w14:paraId="00000011" w14:textId="77777777" w:rsidR="00EB28D8" w:rsidRDefault="008E0641">
      <w:pPr>
        <w:shd w:val="clear" w:color="auto" w:fill="FFFFFF"/>
        <w:jc w:val="both"/>
        <w:rPr>
          <w:rFonts w:ascii="Arial" w:eastAsia="Arial" w:hAnsi="Arial" w:cs="Arial"/>
          <w:sz w:val="22"/>
          <w:szCs w:val="22"/>
        </w:rPr>
      </w:pPr>
      <w:r>
        <w:rPr>
          <w:rFonts w:ascii="Arial" w:eastAsia="Arial" w:hAnsi="Arial" w:cs="Arial"/>
          <w:sz w:val="22"/>
          <w:szCs w:val="22"/>
        </w:rPr>
        <w:t>SEUR también alcanzó este año un importante hito superando los 9.500 puntos Pickup activos distribuidos por todo el territorio nacional, en los que se incluyen 1.000 lockers. En su apuesta por la innovación, la compañía ha situado las soluciones Out Of Home (OOH) como uno de sus principales ejes de crecimiento. Estos puntos de recogida, ubicados estratégicamente y con amplitud de horarios, proporcionan una amplia flexibilidad a los clientes para recoger sus paquetes en el momento que mejor se adapte a sus necesidades.</w:t>
      </w:r>
    </w:p>
    <w:p w14:paraId="00000012" w14:textId="77777777" w:rsidR="00EB28D8" w:rsidRDefault="008E0641">
      <w:pPr>
        <w:shd w:val="clear" w:color="auto" w:fill="FFFFFF"/>
        <w:jc w:val="both"/>
        <w:rPr>
          <w:rFonts w:ascii="Arial" w:eastAsia="Arial" w:hAnsi="Arial" w:cs="Arial"/>
          <w:sz w:val="22"/>
          <w:szCs w:val="22"/>
        </w:rPr>
      </w:pPr>
      <w:r>
        <w:rPr>
          <w:rFonts w:ascii="Arial" w:eastAsia="Arial" w:hAnsi="Arial" w:cs="Arial"/>
          <w:color w:val="000000"/>
          <w:sz w:val="22"/>
          <w:szCs w:val="22"/>
        </w:rPr>
        <w:lastRenderedPageBreak/>
        <w:t xml:space="preserve"> </w:t>
      </w:r>
    </w:p>
    <w:p w14:paraId="00000013" w14:textId="77777777" w:rsidR="00EB28D8" w:rsidRDefault="00EB28D8">
      <w:pPr>
        <w:pBdr>
          <w:top w:val="nil"/>
          <w:left w:val="nil"/>
          <w:bottom w:val="nil"/>
          <w:right w:val="nil"/>
          <w:between w:val="nil"/>
        </w:pBdr>
        <w:jc w:val="both"/>
        <w:rPr>
          <w:rFonts w:ascii="Arial" w:eastAsia="Arial" w:hAnsi="Arial" w:cs="Arial"/>
          <w:color w:val="000000"/>
          <w:sz w:val="22"/>
          <w:szCs w:val="22"/>
        </w:rPr>
      </w:pPr>
    </w:p>
    <w:p w14:paraId="00000014" w14:textId="27E085B7" w:rsidR="00EB28D8" w:rsidRDefault="008E0641">
      <w:pPr>
        <w:jc w:val="both"/>
        <w:rPr>
          <w:rFonts w:ascii="Arial" w:eastAsia="Arial" w:hAnsi="Arial" w:cs="Arial"/>
          <w:sz w:val="22"/>
          <w:szCs w:val="22"/>
        </w:rPr>
      </w:pPr>
      <w:r>
        <w:rPr>
          <w:rFonts w:ascii="Arial" w:eastAsia="Arial" w:hAnsi="Arial" w:cs="Arial"/>
          <w:sz w:val="22"/>
          <w:szCs w:val="22"/>
        </w:rPr>
        <w:t>Otra de las iniciativas más recientes de la compañía es la de la instalación de los puntos de recarga, que, en 2023, ha conseguido aumentar un 60% respecto al año anterior, llegando ya a los 342 a lo largo de toda la geografía nacional.  En esta línea, la compañía contaba a finales de año andarines con 408 vehículos eléctricos de primera y última milla (un 35% más que el año pasado), y su objetivo es llegar a los más de 2.200 vehículos eléctricos y otros medios de cero emisiones, como andarines o triciclos, para el año 2030.</w:t>
      </w:r>
    </w:p>
    <w:p w14:paraId="00000015" w14:textId="77777777" w:rsidR="00EB28D8" w:rsidRDefault="00EB28D8">
      <w:pPr>
        <w:jc w:val="both"/>
        <w:rPr>
          <w:rFonts w:ascii="Arial" w:eastAsia="Arial" w:hAnsi="Arial" w:cs="Arial"/>
          <w:sz w:val="22"/>
          <w:szCs w:val="22"/>
        </w:rPr>
      </w:pPr>
    </w:p>
    <w:p w14:paraId="00000016" w14:textId="77777777" w:rsidR="00EB28D8" w:rsidRDefault="008E0641">
      <w:pPr>
        <w:jc w:val="both"/>
        <w:rPr>
          <w:rFonts w:ascii="Arial" w:eastAsia="Arial" w:hAnsi="Arial" w:cs="Arial"/>
          <w:sz w:val="22"/>
          <w:szCs w:val="22"/>
        </w:rPr>
      </w:pPr>
      <w:r>
        <w:rPr>
          <w:rFonts w:ascii="Arial" w:eastAsia="Arial" w:hAnsi="Arial" w:cs="Arial"/>
          <w:sz w:val="22"/>
          <w:szCs w:val="22"/>
        </w:rPr>
        <w:t xml:space="preserve">Además, 2023 también fue el año en el que SEUR incluyó su primera ruta de arrastre con combustible renovable HVO (aceite vegetal hidrotratado, de sus siglas en inglés). Esta ruta transcurre entre Madrid y Barcelona, las principales zonas logísticas en España, y es llevada a cabo por un dúo tráiler, que es capaz de transportar más paquetes con un consumo de combustible menor. </w:t>
      </w:r>
    </w:p>
    <w:p w14:paraId="00000017" w14:textId="77777777" w:rsidR="00EB28D8" w:rsidRDefault="00EB28D8">
      <w:pPr>
        <w:jc w:val="both"/>
        <w:rPr>
          <w:rFonts w:ascii="Arial" w:eastAsia="Arial" w:hAnsi="Arial" w:cs="Arial"/>
          <w:sz w:val="22"/>
          <w:szCs w:val="22"/>
        </w:rPr>
      </w:pPr>
    </w:p>
    <w:p w14:paraId="00000018" w14:textId="2A81BFF8" w:rsidR="00EB28D8" w:rsidRDefault="008E0641">
      <w:pPr>
        <w:jc w:val="both"/>
        <w:rPr>
          <w:rFonts w:ascii="Arial" w:eastAsia="Arial" w:hAnsi="Arial" w:cs="Arial"/>
          <w:sz w:val="22"/>
          <w:szCs w:val="22"/>
        </w:rPr>
      </w:pPr>
      <w:r>
        <w:rPr>
          <w:rFonts w:ascii="Arial" w:eastAsia="Arial" w:hAnsi="Arial" w:cs="Arial"/>
          <w:sz w:val="22"/>
          <w:szCs w:val="22"/>
        </w:rPr>
        <w:t>Asimismo, la estrategia de sostenibilidad de SEUR es un pilar estratégico de SEUR, y, por tanto, es transversal a todas las acciones que lleva a cabo la compañía, por ejemplo, por el diseño de sus naves. Como el caso de su centro logístico en Castellbisbal, de 27.560 m2, que cuenta con el sello LEED GOLD, que certifica su edificación sostenible teniendo en cuenta factores como la eficiencia energética, la gestión de residuos durante la construcción o los materiales y recursos empleados, entre otros criterios.</w:t>
      </w:r>
    </w:p>
    <w:p w14:paraId="00000019" w14:textId="77777777" w:rsidR="00EB28D8" w:rsidRDefault="00EB28D8">
      <w:pPr>
        <w:jc w:val="both"/>
        <w:rPr>
          <w:rFonts w:ascii="Arial" w:eastAsia="Arial" w:hAnsi="Arial" w:cs="Arial"/>
          <w:sz w:val="22"/>
          <w:szCs w:val="22"/>
        </w:rPr>
      </w:pPr>
    </w:p>
    <w:p w14:paraId="0000001A" w14:textId="77777777" w:rsidR="00EB28D8" w:rsidRDefault="008E0641">
      <w:pPr>
        <w:shd w:val="clear" w:color="auto" w:fill="FFFFFF"/>
        <w:jc w:val="both"/>
        <w:rPr>
          <w:rFonts w:ascii="Arial" w:eastAsia="Arial" w:hAnsi="Arial" w:cs="Arial"/>
          <w:sz w:val="22"/>
          <w:szCs w:val="22"/>
        </w:rPr>
      </w:pPr>
      <w:r>
        <w:rPr>
          <w:rFonts w:ascii="Arial" w:eastAsia="Arial" w:hAnsi="Arial" w:cs="Arial"/>
          <w:sz w:val="22"/>
          <w:szCs w:val="22"/>
        </w:rPr>
        <w:t>Itxaso Larrañaga, directora de Personas y Sostenibilidad de SEUR, reconoce que “estas cifras son la constatación de que nuestro compromiso con la sostenibilidad traspasa el papel y se convierte en hechos. Solo a través de una estrategia que se tiene en cuenta en todas las decisiones que se toman en la compañía se pueden alcanzar estos resultados, y, sobre todo, mejorarlos año tras año. Nuestra filosofía nos lleva a no conformarnos y, por ello, seguiremos transitando este camino que tantas satisfacciones nos está dando y que nos permite devolver a la sociedad una pequeña parte de lo que ella nos da a nosotros”.</w:t>
      </w:r>
    </w:p>
    <w:p w14:paraId="0000001B" w14:textId="77777777" w:rsidR="00EB28D8" w:rsidRDefault="00EB28D8">
      <w:pPr>
        <w:shd w:val="clear" w:color="auto" w:fill="FFFFFF"/>
        <w:jc w:val="both"/>
        <w:rPr>
          <w:rFonts w:ascii="Arial" w:eastAsia="Arial" w:hAnsi="Arial" w:cs="Arial"/>
          <w:sz w:val="22"/>
          <w:szCs w:val="22"/>
        </w:rPr>
      </w:pPr>
    </w:p>
    <w:p w14:paraId="0000001C" w14:textId="77777777" w:rsidR="00EB28D8" w:rsidRDefault="00EB28D8">
      <w:pPr>
        <w:jc w:val="both"/>
        <w:rPr>
          <w:rFonts w:ascii="Arial" w:eastAsia="Arial" w:hAnsi="Arial" w:cs="Arial"/>
          <w:sz w:val="22"/>
          <w:szCs w:val="22"/>
        </w:rPr>
      </w:pPr>
    </w:p>
    <w:p w14:paraId="0000001D" w14:textId="77777777" w:rsidR="00EB28D8" w:rsidRDefault="008E0641">
      <w:pPr>
        <w:jc w:val="both"/>
        <w:rPr>
          <w:rFonts w:ascii="Arial" w:eastAsia="Arial" w:hAnsi="Arial" w:cs="Arial"/>
          <w:b/>
          <w:sz w:val="22"/>
          <w:szCs w:val="22"/>
        </w:rPr>
      </w:pPr>
      <w:r>
        <w:rPr>
          <w:rFonts w:ascii="Arial" w:eastAsia="Arial" w:hAnsi="Arial" w:cs="Arial"/>
          <w:b/>
          <w:sz w:val="22"/>
          <w:szCs w:val="22"/>
        </w:rPr>
        <w:t>Geopost llegará a las cero emisiones netas en 2040</w:t>
      </w:r>
    </w:p>
    <w:p w14:paraId="0000001E" w14:textId="77777777" w:rsidR="00EB28D8" w:rsidRDefault="00EB28D8">
      <w:pPr>
        <w:jc w:val="both"/>
        <w:rPr>
          <w:rFonts w:ascii="Arial" w:eastAsia="Arial" w:hAnsi="Arial" w:cs="Arial"/>
          <w:sz w:val="22"/>
          <w:szCs w:val="22"/>
        </w:rPr>
      </w:pPr>
    </w:p>
    <w:p w14:paraId="0000001F" w14:textId="77777777" w:rsidR="00EB28D8" w:rsidRDefault="008E0641">
      <w:pPr>
        <w:pBdr>
          <w:top w:val="nil"/>
          <w:left w:val="nil"/>
          <w:bottom w:val="nil"/>
          <w:right w:val="nil"/>
          <w:between w:val="nil"/>
        </w:pBdr>
        <w:shd w:val="clear" w:color="auto" w:fill="FFFFFF"/>
        <w:jc w:val="both"/>
        <w:rPr>
          <w:rFonts w:ascii="Arial" w:eastAsia="Arial" w:hAnsi="Arial" w:cs="Arial"/>
          <w:sz w:val="22"/>
          <w:szCs w:val="22"/>
        </w:rPr>
      </w:pPr>
      <w:r>
        <w:rPr>
          <w:rFonts w:ascii="Arial" w:eastAsia="Arial" w:hAnsi="Arial" w:cs="Arial"/>
          <w:color w:val="000000"/>
          <w:sz w:val="22"/>
          <w:szCs w:val="22"/>
        </w:rPr>
        <w:t xml:space="preserve">Geopost, con su compromiso de llegar a las cero emisiones netas en 2040, ha realizado una importante inversión en la descarbonización de sus operaciones mediante el abandono de los combustibles fósiles. De esta forma, la compañía contaba ya a finales de 2023 con </w:t>
      </w:r>
      <w:r>
        <w:rPr>
          <w:rFonts w:ascii="Arial" w:eastAsia="Arial" w:hAnsi="Arial" w:cs="Arial"/>
          <w:sz w:val="22"/>
          <w:szCs w:val="22"/>
        </w:rPr>
        <w:t>9.172 vehículos de reparto</w:t>
      </w:r>
      <w:r>
        <w:rPr>
          <w:rFonts w:ascii="Arial" w:eastAsia="Arial" w:hAnsi="Arial" w:cs="Arial"/>
          <w:color w:val="000000"/>
          <w:sz w:val="22"/>
          <w:szCs w:val="22"/>
        </w:rPr>
        <w:t xml:space="preserve"> </w:t>
      </w:r>
      <w:r>
        <w:rPr>
          <w:rFonts w:ascii="Arial" w:eastAsia="Arial" w:hAnsi="Arial" w:cs="Arial"/>
          <w:sz w:val="22"/>
          <w:szCs w:val="22"/>
        </w:rPr>
        <w:t>de bajas emisiones en todas sus filiales, 2.533 más que el año anterior.</w:t>
      </w:r>
    </w:p>
    <w:p w14:paraId="00000020" w14:textId="77777777" w:rsidR="00EB28D8" w:rsidRDefault="00EB28D8">
      <w:pPr>
        <w:pBdr>
          <w:top w:val="nil"/>
          <w:left w:val="nil"/>
          <w:bottom w:val="nil"/>
          <w:right w:val="nil"/>
          <w:between w:val="nil"/>
        </w:pBdr>
        <w:shd w:val="clear" w:color="auto" w:fill="FFFFFF"/>
        <w:jc w:val="both"/>
        <w:rPr>
          <w:rFonts w:ascii="Arial" w:eastAsia="Arial" w:hAnsi="Arial" w:cs="Arial"/>
          <w:sz w:val="22"/>
          <w:szCs w:val="22"/>
        </w:rPr>
      </w:pPr>
    </w:p>
    <w:p w14:paraId="00000021" w14:textId="77777777" w:rsidR="00EB28D8" w:rsidRDefault="008E0641">
      <w:pPr>
        <w:pBdr>
          <w:top w:val="nil"/>
          <w:left w:val="nil"/>
          <w:bottom w:val="nil"/>
          <w:right w:val="nil"/>
          <w:between w:val="nil"/>
        </w:pBdr>
        <w:shd w:val="clear" w:color="auto" w:fill="FFFFFF"/>
        <w:jc w:val="both"/>
        <w:rPr>
          <w:rFonts w:ascii="Arial" w:eastAsia="Arial" w:hAnsi="Arial" w:cs="Arial"/>
          <w:sz w:val="22"/>
          <w:szCs w:val="22"/>
        </w:rPr>
      </w:pPr>
      <w:r>
        <w:rPr>
          <w:rFonts w:ascii="Arial" w:eastAsia="Arial" w:hAnsi="Arial" w:cs="Arial"/>
          <w:sz w:val="22"/>
          <w:szCs w:val="22"/>
        </w:rPr>
        <w:t xml:space="preserve">Gracias a esta estrategia, Geopost ha conseguido reducir un 1,4% sus emisiones totales respecto a 2022, situándose en 1,83 millones de toneladas de CO2, dato dentro de los objetivos aprobados por el SBTi. </w:t>
      </w:r>
    </w:p>
    <w:p w14:paraId="00000022" w14:textId="77777777" w:rsidR="00EB28D8" w:rsidRDefault="00EB28D8">
      <w:pPr>
        <w:pBdr>
          <w:top w:val="nil"/>
          <w:left w:val="nil"/>
          <w:bottom w:val="nil"/>
          <w:right w:val="nil"/>
          <w:between w:val="nil"/>
        </w:pBdr>
        <w:shd w:val="clear" w:color="auto" w:fill="FFFFFF"/>
        <w:jc w:val="both"/>
        <w:rPr>
          <w:rFonts w:ascii="Arial" w:eastAsia="Arial" w:hAnsi="Arial" w:cs="Arial"/>
          <w:sz w:val="22"/>
          <w:szCs w:val="22"/>
        </w:rPr>
      </w:pPr>
    </w:p>
    <w:p w14:paraId="00000023" w14:textId="477FFD39" w:rsidR="00EB28D8" w:rsidRDefault="008E0641">
      <w:pPr>
        <w:jc w:val="both"/>
        <w:rPr>
          <w:rFonts w:ascii="Arial" w:eastAsia="Arial" w:hAnsi="Arial" w:cs="Arial"/>
          <w:sz w:val="22"/>
          <w:szCs w:val="22"/>
        </w:rPr>
      </w:pPr>
      <w:r>
        <w:rPr>
          <w:rFonts w:ascii="Arial" w:eastAsia="Arial" w:hAnsi="Arial" w:cs="Arial"/>
          <w:sz w:val="22"/>
          <w:szCs w:val="22"/>
        </w:rPr>
        <w:t>Por otra parte, también ha realizado mejoras en su programa de Instalaciones Sostenibles incluyendo sistemas de control inteligentes, o maximizando el consumo de energía solar autoproducida una vez instaladas las baterías, entre otras medidas. Un programa que ha permitido que la energía en sus instalaciones que proviene de fuentes renovables suponga ya el 56,6% del total.</w:t>
      </w:r>
      <w:r w:rsidR="003178A4">
        <w:rPr>
          <w:rFonts w:ascii="Arial" w:eastAsia="Arial" w:hAnsi="Arial" w:cs="Arial"/>
          <w:sz w:val="22"/>
          <w:szCs w:val="22"/>
        </w:rPr>
        <w:t xml:space="preserve"> </w:t>
      </w:r>
    </w:p>
    <w:p w14:paraId="00000024" w14:textId="77777777" w:rsidR="00EB28D8" w:rsidRDefault="00EB28D8">
      <w:pPr>
        <w:jc w:val="both"/>
        <w:rPr>
          <w:rFonts w:ascii="Arial" w:eastAsia="Arial" w:hAnsi="Arial" w:cs="Arial"/>
        </w:rPr>
      </w:pPr>
    </w:p>
    <w:p w14:paraId="00000025" w14:textId="77777777" w:rsidR="00EB28D8" w:rsidRDefault="008E0641">
      <w:pPr>
        <w:rPr>
          <w:rFonts w:ascii="Arial" w:eastAsia="Arial" w:hAnsi="Arial" w:cs="Arial"/>
          <w:b/>
          <w:color w:val="222222"/>
          <w:sz w:val="20"/>
          <w:szCs w:val="20"/>
        </w:rPr>
      </w:pPr>
      <w:r>
        <w:rPr>
          <w:rFonts w:ascii="Arial" w:eastAsia="Arial" w:hAnsi="Arial" w:cs="Arial"/>
          <w:b/>
          <w:color w:val="222222"/>
          <w:sz w:val="20"/>
          <w:szCs w:val="20"/>
        </w:rPr>
        <w:t>Puedes ver la memoria completa en este enlace:</w:t>
      </w:r>
    </w:p>
    <w:p w14:paraId="00000027" w14:textId="04C6315C" w:rsidR="00EB28D8" w:rsidRDefault="00E06352">
      <w:pPr>
        <w:rPr>
          <w:rFonts w:ascii="Arial" w:eastAsia="Arial" w:hAnsi="Arial" w:cs="Arial"/>
          <w:color w:val="222222"/>
          <w:sz w:val="20"/>
          <w:szCs w:val="20"/>
        </w:rPr>
      </w:pPr>
      <w:sdt>
        <w:sdtPr>
          <w:tag w:val="goog_rdk_0"/>
          <w:id w:val="930002429"/>
        </w:sdtPr>
        <w:sdtEndPr/>
        <w:sdtContent/>
      </w:sdt>
      <w:hyperlink r:id="rId8" w:history="1">
        <w:r w:rsidR="003178A4" w:rsidRPr="003D0F49">
          <w:rPr>
            <w:rStyle w:val="Hipervnculo"/>
            <w:rFonts w:ascii="Arial" w:eastAsia="Arial" w:hAnsi="Arial" w:cs="Arial"/>
            <w:sz w:val="22"/>
            <w:szCs w:val="22"/>
          </w:rPr>
          <w:t>https://www.seur.com/uploads/files/geo_sustainabilityreport23_esp_11oct24_1728656673.pdf</w:t>
        </w:r>
      </w:hyperlink>
      <w:r w:rsidR="003178A4">
        <w:t xml:space="preserve"> </w:t>
      </w:r>
    </w:p>
    <w:p w14:paraId="00000028" w14:textId="77777777" w:rsidR="00EB28D8" w:rsidRDefault="008E0641">
      <w:pPr>
        <w:spacing w:before="240" w:after="240"/>
        <w:jc w:val="both"/>
        <w:rPr>
          <w:rFonts w:ascii="Arial" w:eastAsia="Arial" w:hAnsi="Arial" w:cs="Arial"/>
          <w:b/>
          <w:sz w:val="16"/>
          <w:szCs w:val="16"/>
        </w:rPr>
      </w:pPr>
      <w:r>
        <w:rPr>
          <w:rFonts w:ascii="Arial" w:eastAsia="Arial" w:hAnsi="Arial" w:cs="Arial"/>
          <w:b/>
          <w:sz w:val="16"/>
          <w:szCs w:val="16"/>
        </w:rPr>
        <w:lastRenderedPageBreak/>
        <w:t>Acerca de SEUR</w:t>
      </w:r>
    </w:p>
    <w:p w14:paraId="00000029" w14:textId="77777777" w:rsidR="00EB28D8" w:rsidRDefault="008E0641">
      <w:pPr>
        <w:spacing w:before="240" w:after="240"/>
        <w:jc w:val="both"/>
        <w:rPr>
          <w:rFonts w:ascii="Arial" w:eastAsia="Arial" w:hAnsi="Arial" w:cs="Arial"/>
          <w:b/>
          <w:sz w:val="16"/>
          <w:szCs w:val="16"/>
        </w:rPr>
      </w:pPr>
      <w:r>
        <w:rPr>
          <w:rFonts w:ascii="Arial" w:eastAsia="Arial" w:hAnsi="Arial" w:cs="Arial"/>
          <w:sz w:val="16"/>
          <w:szCs w:val="16"/>
        </w:rPr>
        <w:t>Nuestros 80 años de historia nos han permitido ser pioneros en el transporte urgente en España y liderar el sector con tres grandes ejes de negocio: internacional, comercio electrónico y el servicio de frío enfocado a la alimentación online.</w:t>
      </w:r>
    </w:p>
    <w:p w14:paraId="0000002A" w14:textId="77777777" w:rsidR="00EB28D8" w:rsidRDefault="008E0641">
      <w:pPr>
        <w:keepNext/>
        <w:keepLines/>
        <w:jc w:val="both"/>
        <w:rPr>
          <w:rFonts w:ascii="Arial" w:eastAsia="Arial" w:hAnsi="Arial" w:cs="Arial"/>
          <w:sz w:val="16"/>
          <w:szCs w:val="16"/>
        </w:rPr>
      </w:pPr>
      <w:r>
        <w:rPr>
          <w:rFonts w:ascii="Arial" w:eastAsia="Arial" w:hAnsi="Arial" w:cs="Arial"/>
          <w:sz w:val="16"/>
          <w:szCs w:val="16"/>
        </w:rPr>
        <w:t>Gracias a nuestros 10.000 profesionales y nuestra flota de 6.500 vehículos, damos servicio a empresas de todos los tamaños y sectores, y como parte de Geopost, una de las mayores redes internacionales de transporte urgente, realizamos entregas en todo el mundo.</w:t>
      </w:r>
    </w:p>
    <w:p w14:paraId="0000002B" w14:textId="77777777" w:rsidR="00EB28D8" w:rsidRDefault="00EB28D8">
      <w:pPr>
        <w:keepNext/>
        <w:keepLines/>
        <w:jc w:val="both"/>
        <w:rPr>
          <w:rFonts w:ascii="Arial" w:eastAsia="Arial" w:hAnsi="Arial" w:cs="Arial"/>
          <w:sz w:val="16"/>
          <w:szCs w:val="16"/>
        </w:rPr>
      </w:pPr>
    </w:p>
    <w:p w14:paraId="0000002C" w14:textId="77777777" w:rsidR="00EB28D8" w:rsidRDefault="008E0641">
      <w:pPr>
        <w:keepNext/>
        <w:keepLines/>
        <w:jc w:val="both"/>
        <w:rPr>
          <w:rFonts w:ascii="Arial" w:eastAsia="Arial" w:hAnsi="Arial" w:cs="Arial"/>
          <w:sz w:val="16"/>
          <w:szCs w:val="16"/>
        </w:rPr>
      </w:pPr>
      <w:r>
        <w:rPr>
          <w:rFonts w:ascii="Arial" w:eastAsia="Arial" w:hAnsi="Arial" w:cs="Arial"/>
          <w:sz w:val="16"/>
          <w:szCs w:val="16"/>
        </w:rPr>
        <w:t>Invertimos constantemente en innovación e infraestructuras para estar más cerca de nuestros clientes y ofrecerles mayor flexibilidad a través de soluciones como Predict, sistema interactivo para concertar la entrega, o SEUR Now, para las entregas súper urgentes en una o dos horas. Apostamos por la logística sostenible con la integración de sistemas de reparto alternativos en grandes ciudades como el uso de vehículos ecológicos, hubs urbanos o nuestra red de puntos Pickup con más de 9.500 tiendas de conveniencia y lockers.</w:t>
      </w:r>
    </w:p>
    <w:p w14:paraId="0000002D" w14:textId="77777777" w:rsidR="00EB28D8" w:rsidRDefault="008E0641">
      <w:pPr>
        <w:spacing w:before="240" w:line="360" w:lineRule="auto"/>
        <w:jc w:val="both"/>
        <w:rPr>
          <w:rFonts w:ascii="Arial" w:eastAsia="Arial" w:hAnsi="Arial" w:cs="Arial"/>
          <w:b/>
          <w:sz w:val="16"/>
          <w:szCs w:val="16"/>
        </w:rPr>
      </w:pPr>
      <w:r>
        <w:rPr>
          <w:rFonts w:ascii="Arial" w:eastAsia="Arial" w:hAnsi="Arial" w:cs="Arial"/>
          <w:b/>
          <w:sz w:val="16"/>
          <w:szCs w:val="16"/>
        </w:rPr>
        <w:t>Para más información:</w:t>
      </w:r>
    </w:p>
    <w:p w14:paraId="0000002E" w14:textId="77777777" w:rsidR="00EB28D8" w:rsidRDefault="008E0641">
      <w:pPr>
        <w:spacing w:before="240" w:line="360" w:lineRule="auto"/>
        <w:jc w:val="both"/>
        <w:rPr>
          <w:rFonts w:ascii="Arial" w:eastAsia="Arial" w:hAnsi="Arial" w:cs="Arial"/>
          <w:b/>
          <w:color w:val="1155CC"/>
          <w:sz w:val="16"/>
          <w:szCs w:val="16"/>
          <w:u w:val="single"/>
        </w:rPr>
      </w:pPr>
      <w:hyperlink r:id="rId9" w:anchor="!/SEUR">
        <w:r>
          <w:rPr>
            <w:rFonts w:ascii="Arial" w:eastAsia="Arial" w:hAnsi="Arial" w:cs="Arial"/>
            <w:b/>
            <w:color w:val="1155CC"/>
            <w:sz w:val="16"/>
            <w:szCs w:val="16"/>
            <w:u w:val="single"/>
          </w:rPr>
          <w:t>https://twitter.com/SEUR</w:t>
        </w:r>
      </w:hyperlink>
    </w:p>
    <w:p w14:paraId="0000002F" w14:textId="77777777" w:rsidR="00EB28D8" w:rsidRDefault="008E0641">
      <w:pPr>
        <w:spacing w:before="240" w:line="360" w:lineRule="auto"/>
        <w:jc w:val="both"/>
        <w:rPr>
          <w:rFonts w:ascii="Arial" w:eastAsia="Arial" w:hAnsi="Arial" w:cs="Arial"/>
          <w:b/>
          <w:color w:val="1155CC"/>
          <w:sz w:val="16"/>
          <w:szCs w:val="16"/>
          <w:u w:val="single"/>
        </w:rPr>
      </w:pPr>
      <w:hyperlink r:id="rId10">
        <w:r>
          <w:rPr>
            <w:rFonts w:ascii="Arial" w:eastAsia="Arial" w:hAnsi="Arial" w:cs="Arial"/>
            <w:b/>
            <w:color w:val="1155CC"/>
            <w:sz w:val="16"/>
            <w:szCs w:val="16"/>
            <w:u w:val="single"/>
          </w:rPr>
          <w:t>http://www.linkedin.com/company/SEUR</w:t>
        </w:r>
      </w:hyperlink>
    </w:p>
    <w:p w14:paraId="00000030" w14:textId="77777777" w:rsidR="00EB28D8" w:rsidRDefault="008E0641">
      <w:pPr>
        <w:spacing w:before="240" w:line="360" w:lineRule="auto"/>
        <w:jc w:val="both"/>
        <w:rPr>
          <w:rFonts w:ascii="Arial" w:eastAsia="Arial" w:hAnsi="Arial" w:cs="Arial"/>
          <w:b/>
          <w:color w:val="1155CC"/>
          <w:sz w:val="16"/>
          <w:szCs w:val="16"/>
          <w:u w:val="single"/>
        </w:rPr>
      </w:pPr>
      <w:hyperlink r:id="rId11">
        <w:r>
          <w:rPr>
            <w:rFonts w:ascii="Arial" w:eastAsia="Arial" w:hAnsi="Arial" w:cs="Arial"/>
            <w:b/>
            <w:color w:val="1155CC"/>
            <w:sz w:val="16"/>
            <w:szCs w:val="16"/>
            <w:u w:val="single"/>
          </w:rPr>
          <w:t>https://www.instagram.com/seur.es/</w:t>
        </w:r>
      </w:hyperlink>
    </w:p>
    <w:p w14:paraId="00000031" w14:textId="77777777" w:rsidR="00EB28D8" w:rsidRDefault="008E0641">
      <w:pPr>
        <w:spacing w:before="240" w:line="276" w:lineRule="auto"/>
        <w:jc w:val="both"/>
        <w:rPr>
          <w:rFonts w:ascii="Arial" w:eastAsia="Arial" w:hAnsi="Arial" w:cs="Arial"/>
          <w:b/>
          <w:sz w:val="18"/>
          <w:szCs w:val="18"/>
        </w:rPr>
      </w:pPr>
      <w:r>
        <w:rPr>
          <w:rFonts w:ascii="Arial" w:eastAsia="Arial" w:hAnsi="Arial" w:cs="Arial"/>
          <w:b/>
          <w:sz w:val="18"/>
          <w:szCs w:val="18"/>
        </w:rPr>
        <w:t>Gabinete de prensa / Agencia de comunicación SEUR</w:t>
      </w:r>
    </w:p>
    <w:tbl>
      <w:tblPr>
        <w:tblStyle w:val="a2"/>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4245"/>
      </w:tblGrid>
      <w:tr w:rsidR="00EB28D8" w14:paraId="3A4F1C85"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2" w14:textId="77777777" w:rsidR="00EB28D8" w:rsidRDefault="008E0641">
            <w:pPr>
              <w:spacing w:before="240" w:line="276" w:lineRule="auto"/>
              <w:ind w:left="120"/>
              <w:jc w:val="both"/>
              <w:rPr>
                <w:rFonts w:ascii="Arial" w:eastAsia="Arial" w:hAnsi="Arial" w:cs="Arial"/>
                <w:b/>
                <w:sz w:val="16"/>
                <w:szCs w:val="16"/>
              </w:rPr>
            </w:pPr>
            <w:r>
              <w:rPr>
                <w:rFonts w:ascii="Arial" w:eastAsia="Arial" w:hAnsi="Arial" w:cs="Arial"/>
                <w:b/>
                <w:sz w:val="16"/>
                <w:szCs w:val="16"/>
              </w:rPr>
              <w:t>Eugenia Llorca/ Beatriz Molero</w:t>
            </w:r>
          </w:p>
          <w:p w14:paraId="00000033" w14:textId="77777777" w:rsidR="00EB28D8" w:rsidRDefault="008E0641">
            <w:pPr>
              <w:spacing w:before="240" w:line="276" w:lineRule="auto"/>
              <w:ind w:left="120"/>
              <w:jc w:val="both"/>
              <w:rPr>
                <w:rFonts w:ascii="Arial" w:eastAsia="Arial" w:hAnsi="Arial" w:cs="Arial"/>
                <w:b/>
                <w:sz w:val="16"/>
                <w:szCs w:val="16"/>
              </w:rPr>
            </w:pPr>
            <w:r>
              <w:rPr>
                <w:rFonts w:ascii="Arial" w:eastAsia="Arial" w:hAnsi="Arial" w:cs="Arial"/>
                <w:b/>
                <w:sz w:val="16"/>
                <w:szCs w:val="16"/>
              </w:rPr>
              <w:t>SEUR</w:t>
            </w:r>
          </w:p>
          <w:p w14:paraId="00000035" w14:textId="77777777" w:rsidR="00EB28D8" w:rsidRDefault="00EB28D8" w:rsidP="00E06352">
            <w:pPr>
              <w:spacing w:before="240" w:line="276" w:lineRule="auto"/>
              <w:ind w:left="120"/>
              <w:jc w:val="both"/>
              <w:rPr>
                <w:rFonts w:ascii="Arial" w:eastAsia="Arial" w:hAnsi="Arial" w:cs="Arial"/>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36" w14:textId="77777777" w:rsidR="00EB28D8" w:rsidRDefault="008E0641">
            <w:pPr>
              <w:spacing w:before="240" w:line="276" w:lineRule="auto"/>
              <w:ind w:left="120"/>
              <w:jc w:val="both"/>
              <w:rPr>
                <w:rFonts w:ascii="Arial" w:eastAsia="Arial" w:hAnsi="Arial" w:cs="Arial"/>
                <w:b/>
                <w:sz w:val="16"/>
                <w:szCs w:val="16"/>
              </w:rPr>
            </w:pPr>
            <w:r>
              <w:rPr>
                <w:rFonts w:ascii="Arial" w:eastAsia="Arial" w:hAnsi="Arial" w:cs="Arial"/>
                <w:b/>
                <w:sz w:val="16"/>
                <w:szCs w:val="16"/>
              </w:rPr>
              <w:t>Elena Barrera / Rubén Santiago/ Virginia Sánchez</w:t>
            </w:r>
          </w:p>
          <w:p w14:paraId="00000037" w14:textId="77777777" w:rsidR="00EB28D8" w:rsidRPr="00932D3B" w:rsidRDefault="008E0641">
            <w:pPr>
              <w:spacing w:before="240" w:line="276" w:lineRule="auto"/>
              <w:ind w:left="120"/>
              <w:jc w:val="both"/>
              <w:rPr>
                <w:rFonts w:ascii="Arial" w:eastAsia="Arial" w:hAnsi="Arial" w:cs="Arial"/>
                <w:b/>
                <w:sz w:val="16"/>
                <w:szCs w:val="16"/>
                <w:lang w:val="en-US"/>
              </w:rPr>
            </w:pPr>
            <w:r w:rsidRPr="00932D3B">
              <w:rPr>
                <w:rFonts w:ascii="Arial" w:eastAsia="Arial" w:hAnsi="Arial" w:cs="Arial"/>
                <w:b/>
                <w:sz w:val="16"/>
                <w:szCs w:val="16"/>
                <w:lang w:val="en-US"/>
              </w:rPr>
              <w:t>TINKLE</w:t>
            </w:r>
          </w:p>
          <w:p w14:paraId="00000038" w14:textId="77777777" w:rsidR="00EB28D8" w:rsidRPr="00932D3B" w:rsidRDefault="008E0641">
            <w:pPr>
              <w:spacing w:before="240" w:line="276" w:lineRule="auto"/>
              <w:ind w:left="120"/>
              <w:jc w:val="both"/>
              <w:rPr>
                <w:rFonts w:ascii="Arial" w:eastAsia="Arial" w:hAnsi="Arial" w:cs="Arial"/>
                <w:b/>
                <w:sz w:val="16"/>
                <w:szCs w:val="16"/>
                <w:lang w:val="en-US"/>
              </w:rPr>
            </w:pPr>
            <w:r w:rsidRPr="00932D3B">
              <w:rPr>
                <w:rFonts w:ascii="Arial" w:eastAsia="Arial" w:hAnsi="Arial" w:cs="Arial"/>
                <w:b/>
                <w:sz w:val="16"/>
                <w:szCs w:val="16"/>
                <w:lang w:val="en-US"/>
              </w:rPr>
              <w:t xml:space="preserve">91 702 10 10 </w:t>
            </w:r>
          </w:p>
          <w:p w14:paraId="00000039" w14:textId="77777777" w:rsidR="00EB28D8" w:rsidRPr="00932D3B" w:rsidRDefault="008E0641">
            <w:pPr>
              <w:spacing w:before="240" w:line="276" w:lineRule="auto"/>
              <w:ind w:left="120"/>
              <w:jc w:val="both"/>
              <w:rPr>
                <w:rFonts w:ascii="Arial" w:eastAsia="Arial" w:hAnsi="Arial" w:cs="Arial"/>
                <w:b/>
                <w:color w:val="0563C1"/>
                <w:sz w:val="16"/>
                <w:szCs w:val="16"/>
                <w:lang w:val="en-US"/>
              </w:rPr>
            </w:pPr>
            <w:r w:rsidRPr="00932D3B">
              <w:rPr>
                <w:rFonts w:ascii="Arial" w:eastAsia="Arial" w:hAnsi="Arial" w:cs="Arial"/>
                <w:b/>
                <w:color w:val="0563C1"/>
                <w:sz w:val="16"/>
                <w:szCs w:val="16"/>
                <w:lang w:val="en-US"/>
              </w:rPr>
              <w:t>ebarrera@tinkle.es</w:t>
            </w:r>
          </w:p>
          <w:p w14:paraId="0000003A" w14:textId="77777777" w:rsidR="00EB28D8" w:rsidRPr="00932D3B" w:rsidRDefault="008E0641">
            <w:pPr>
              <w:spacing w:before="240" w:line="276" w:lineRule="auto"/>
              <w:ind w:left="120"/>
              <w:jc w:val="both"/>
              <w:rPr>
                <w:rFonts w:ascii="Arial" w:eastAsia="Arial" w:hAnsi="Arial" w:cs="Arial"/>
                <w:b/>
                <w:color w:val="0563C1"/>
                <w:sz w:val="16"/>
                <w:szCs w:val="16"/>
                <w:lang w:val="en-US"/>
              </w:rPr>
            </w:pPr>
            <w:hyperlink r:id="rId12">
              <w:r w:rsidRPr="00932D3B">
                <w:rPr>
                  <w:rFonts w:ascii="Arial" w:eastAsia="Arial" w:hAnsi="Arial" w:cs="Arial"/>
                  <w:b/>
                  <w:color w:val="0000FF"/>
                  <w:sz w:val="16"/>
                  <w:szCs w:val="16"/>
                  <w:u w:val="single"/>
                  <w:lang w:val="en-US"/>
                </w:rPr>
                <w:t>rsantiago@tinkle.es</w:t>
              </w:r>
            </w:hyperlink>
          </w:p>
          <w:p w14:paraId="0000003B" w14:textId="77777777" w:rsidR="00EB28D8" w:rsidRDefault="008E0641">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vsanchez@tinkle.es</w:t>
            </w:r>
          </w:p>
          <w:p w14:paraId="0000003C" w14:textId="77777777" w:rsidR="00EB28D8" w:rsidRDefault="00EB28D8">
            <w:pPr>
              <w:spacing w:before="240" w:line="276" w:lineRule="auto"/>
              <w:ind w:left="120"/>
              <w:jc w:val="both"/>
              <w:rPr>
                <w:rFonts w:ascii="Arial" w:eastAsia="Arial" w:hAnsi="Arial" w:cs="Arial"/>
                <w:b/>
                <w:color w:val="0563C1"/>
                <w:sz w:val="16"/>
                <w:szCs w:val="16"/>
              </w:rPr>
            </w:pPr>
          </w:p>
        </w:tc>
      </w:tr>
    </w:tbl>
    <w:p w14:paraId="0000003D" w14:textId="77777777" w:rsidR="00EB28D8" w:rsidRDefault="00EB28D8">
      <w:pPr>
        <w:pBdr>
          <w:top w:val="single" w:sz="4" w:space="1" w:color="000000"/>
        </w:pBdr>
        <w:spacing w:after="200" w:line="360" w:lineRule="auto"/>
        <w:ind w:right="-285"/>
        <w:jc w:val="both"/>
        <w:rPr>
          <w:rFonts w:ascii="Arial" w:eastAsia="Arial" w:hAnsi="Arial" w:cs="Arial"/>
          <w:sz w:val="16"/>
          <w:szCs w:val="16"/>
        </w:rPr>
      </w:pPr>
    </w:p>
    <w:p w14:paraId="0000003E" w14:textId="77777777" w:rsidR="00EB28D8" w:rsidRDefault="00EB28D8">
      <w:pPr>
        <w:jc w:val="both"/>
        <w:rPr>
          <w:rFonts w:ascii="Arial" w:eastAsia="Arial" w:hAnsi="Arial" w:cs="Arial"/>
          <w:sz w:val="20"/>
          <w:szCs w:val="20"/>
        </w:rPr>
      </w:pPr>
    </w:p>
    <w:p w14:paraId="0000003F" w14:textId="77777777" w:rsidR="00EB28D8" w:rsidRDefault="00EB28D8">
      <w:pPr>
        <w:rPr>
          <w:rFonts w:ascii="Arial" w:eastAsia="Arial" w:hAnsi="Arial" w:cs="Arial"/>
          <w:sz w:val="22"/>
          <w:szCs w:val="22"/>
        </w:rPr>
      </w:pPr>
    </w:p>
    <w:p w14:paraId="00000040" w14:textId="77777777" w:rsidR="00EB28D8" w:rsidRDefault="00EB28D8">
      <w:pPr>
        <w:jc w:val="both"/>
        <w:rPr>
          <w:rFonts w:ascii="Arial" w:eastAsia="Arial" w:hAnsi="Arial" w:cs="Arial"/>
          <w:sz w:val="22"/>
          <w:szCs w:val="22"/>
        </w:rPr>
      </w:pPr>
    </w:p>
    <w:p w14:paraId="00000041" w14:textId="77777777" w:rsidR="00EB28D8" w:rsidRDefault="00EB28D8">
      <w:pPr>
        <w:jc w:val="both"/>
        <w:rPr>
          <w:rFonts w:ascii="Arial" w:eastAsia="Arial" w:hAnsi="Arial" w:cs="Arial"/>
          <w:sz w:val="22"/>
          <w:szCs w:val="22"/>
        </w:rPr>
      </w:pPr>
    </w:p>
    <w:p w14:paraId="00000042" w14:textId="77777777" w:rsidR="00EB28D8" w:rsidRDefault="00EB28D8">
      <w:pPr>
        <w:jc w:val="both"/>
        <w:rPr>
          <w:rFonts w:ascii="Arial" w:eastAsia="Arial" w:hAnsi="Arial" w:cs="Arial"/>
          <w:sz w:val="22"/>
          <w:szCs w:val="22"/>
        </w:rPr>
      </w:pPr>
    </w:p>
    <w:p w14:paraId="00000043" w14:textId="77777777" w:rsidR="00EB28D8" w:rsidRDefault="00EB28D8">
      <w:pPr>
        <w:spacing w:after="200"/>
        <w:rPr>
          <w:rFonts w:ascii="Arial" w:eastAsia="Arial" w:hAnsi="Arial" w:cs="Arial"/>
          <w:color w:val="000000"/>
          <w:sz w:val="22"/>
          <w:szCs w:val="22"/>
        </w:rPr>
      </w:pPr>
    </w:p>
    <w:p w14:paraId="00000044" w14:textId="77777777" w:rsidR="00EB28D8" w:rsidRDefault="00EB28D8">
      <w:pPr>
        <w:rPr>
          <w:rFonts w:ascii="Arial" w:eastAsia="Arial" w:hAnsi="Arial" w:cs="Arial"/>
          <w:sz w:val="20"/>
          <w:szCs w:val="20"/>
        </w:rPr>
      </w:pPr>
    </w:p>
    <w:sectPr w:rsidR="00EB28D8">
      <w:headerReference w:type="defaul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D1181" w14:textId="77777777" w:rsidR="008E0641" w:rsidRDefault="008E0641">
      <w:r>
        <w:separator/>
      </w:r>
    </w:p>
  </w:endnote>
  <w:endnote w:type="continuationSeparator" w:id="0">
    <w:p w14:paraId="70221B83" w14:textId="77777777" w:rsidR="008E0641" w:rsidRDefault="008E0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8060F89-F8A3-4026-ACA4-FB924945E9A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86CD363-DC40-4B29-8109-0F6B9D78C49B}"/>
    <w:embedItalic r:id="rId3" w:fontKey="{C3F64FF2-AAF0-4F51-8650-858AFC8E249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CC6CE42E-5390-4829-B291-CA9EB3E17B97}"/>
  </w:font>
  <w:font w:name="Cambria">
    <w:panose1 w:val="02040503050406030204"/>
    <w:charset w:val="00"/>
    <w:family w:val="roman"/>
    <w:pitch w:val="variable"/>
    <w:sig w:usb0="E00006FF" w:usb1="420024FF" w:usb2="02000000" w:usb3="00000000" w:csb0="0000019F" w:csb1="00000000"/>
    <w:embedRegular r:id="rId5" w:fontKey="{3D8DDFE2-B5DB-4915-84C2-85ACAD19D90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E760E" w14:textId="77777777" w:rsidR="008E0641" w:rsidRDefault="008E0641">
      <w:r>
        <w:separator/>
      </w:r>
    </w:p>
  </w:footnote>
  <w:footnote w:type="continuationSeparator" w:id="0">
    <w:p w14:paraId="6C041C97" w14:textId="77777777" w:rsidR="008E0641" w:rsidRDefault="008E06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5" w14:textId="77777777" w:rsidR="00EB28D8" w:rsidRDefault="008E0641">
    <w:pPr>
      <w:tabs>
        <w:tab w:val="center" w:pos="4252"/>
        <w:tab w:val="right" w:pos="8504"/>
      </w:tabs>
      <w:rPr>
        <w:color w:val="000000"/>
      </w:rPr>
    </w:pPr>
    <w:r>
      <w:t xml:space="preserve">                                                                                                              </w:t>
    </w:r>
    <w:r>
      <w:rPr>
        <w:noProof/>
      </w:rPr>
      <w:drawing>
        <wp:anchor distT="0" distB="0" distL="114300" distR="114300" simplePos="0" relativeHeight="251658240" behindDoc="0" locked="0" layoutInCell="1" hidden="0" allowOverlap="1" wp14:anchorId="5869B89D" wp14:editId="6ADC3127">
          <wp:simplePos x="0" y="0"/>
          <wp:positionH relativeFrom="column">
            <wp:posOffset>7</wp:posOffset>
          </wp:positionH>
          <wp:positionV relativeFrom="paragraph">
            <wp:posOffset>-630</wp:posOffset>
          </wp:positionV>
          <wp:extent cx="1209675" cy="291465"/>
          <wp:effectExtent l="0" t="0" r="0" b="0"/>
          <wp:wrapNone/>
          <wp:docPr id="7" name="image2.jp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Gráfico&#10;&#10;Descripción generada automáticamente"/>
                  <pic:cNvPicPr preferRelativeResize="0"/>
                </pic:nvPicPr>
                <pic:blipFill>
                  <a:blip r:embed="rId1"/>
                  <a:srcRect t="23153" b="43674"/>
                  <a:stretch>
                    <a:fillRect/>
                  </a:stretch>
                </pic:blipFill>
                <pic:spPr>
                  <a:xfrm>
                    <a:off x="0" y="0"/>
                    <a:ext cx="1209675" cy="29146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1C56A85F" wp14:editId="4385FA16">
          <wp:simplePos x="0" y="0"/>
          <wp:positionH relativeFrom="column">
            <wp:posOffset>4643755</wp:posOffset>
          </wp:positionH>
          <wp:positionV relativeFrom="paragraph">
            <wp:posOffset>-95879</wp:posOffset>
          </wp:positionV>
          <wp:extent cx="756285" cy="419100"/>
          <wp:effectExtent l="0" t="0" r="0" b="0"/>
          <wp:wrapSquare wrapText="bothSides" distT="114300" distB="114300" distL="114300" distR="114300"/>
          <wp:docPr id="8" name="image1.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Interfaz de usuario gráfica&#10;&#10;Descripción generada automáticamente"/>
                  <pic:cNvPicPr preferRelativeResize="0"/>
                </pic:nvPicPr>
                <pic:blipFill>
                  <a:blip r:embed="rId2"/>
                  <a:srcRect l="48441"/>
                  <a:stretch>
                    <a:fillRect/>
                  </a:stretch>
                </pic:blipFill>
                <pic:spPr>
                  <a:xfrm>
                    <a:off x="0" y="0"/>
                    <a:ext cx="756285" cy="419100"/>
                  </a:xfrm>
                  <a:prstGeom prst="rect">
                    <a:avLst/>
                  </a:prstGeom>
                  <a:ln/>
                </pic:spPr>
              </pic:pic>
            </a:graphicData>
          </a:graphic>
        </wp:anchor>
      </w:drawing>
    </w:r>
  </w:p>
  <w:p w14:paraId="00000046" w14:textId="77777777" w:rsidR="00EB28D8" w:rsidRDefault="00EB28D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7405C9"/>
    <w:multiLevelType w:val="multilevel"/>
    <w:tmpl w:val="37D41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9399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8D8"/>
    <w:rsid w:val="00125801"/>
    <w:rsid w:val="003178A4"/>
    <w:rsid w:val="004A2D69"/>
    <w:rsid w:val="008E0641"/>
    <w:rsid w:val="00932D3B"/>
    <w:rsid w:val="00E06352"/>
    <w:rsid w:val="00EB28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C27C"/>
  <w15:docId w15:val="{0463210B-E34A-4D1D-AEEF-8705DA674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863020"/>
    <w:rPr>
      <w:color w:val="0000FF" w:themeColor="hyperlink"/>
      <w:u w:val="single"/>
    </w:rPr>
  </w:style>
  <w:style w:type="character" w:styleId="Mencinsinresolver">
    <w:name w:val="Unresolved Mention"/>
    <w:basedOn w:val="Fuentedeprrafopredeter"/>
    <w:uiPriority w:val="99"/>
    <w:semiHidden/>
    <w:unhideWhenUsed/>
    <w:rsid w:val="00863020"/>
    <w:rPr>
      <w:color w:val="605E5C"/>
      <w:shd w:val="clear" w:color="auto" w:fill="E1DFDD"/>
    </w:rPr>
  </w:style>
  <w:style w:type="character" w:styleId="Refdecomentario">
    <w:name w:val="annotation reference"/>
    <w:basedOn w:val="Fuentedeprrafopredeter"/>
    <w:uiPriority w:val="99"/>
    <w:semiHidden/>
    <w:unhideWhenUsed/>
    <w:rsid w:val="005B4733"/>
    <w:rPr>
      <w:sz w:val="16"/>
      <w:szCs w:val="16"/>
    </w:rPr>
  </w:style>
  <w:style w:type="paragraph" w:styleId="Textocomentario">
    <w:name w:val="annotation text"/>
    <w:basedOn w:val="Normal"/>
    <w:link w:val="TextocomentarioCar"/>
    <w:uiPriority w:val="99"/>
    <w:unhideWhenUsed/>
    <w:rsid w:val="005B4733"/>
    <w:rPr>
      <w:sz w:val="20"/>
      <w:szCs w:val="20"/>
    </w:rPr>
  </w:style>
  <w:style w:type="character" w:customStyle="1" w:styleId="TextocomentarioCar">
    <w:name w:val="Texto comentario Car"/>
    <w:basedOn w:val="Fuentedeprrafopredeter"/>
    <w:link w:val="Textocomentario"/>
    <w:uiPriority w:val="99"/>
    <w:rsid w:val="005B4733"/>
    <w:rPr>
      <w:sz w:val="20"/>
      <w:szCs w:val="20"/>
    </w:rPr>
  </w:style>
  <w:style w:type="paragraph" w:styleId="Asuntodelcomentario">
    <w:name w:val="annotation subject"/>
    <w:basedOn w:val="Textocomentario"/>
    <w:next w:val="Textocomentario"/>
    <w:link w:val="AsuntodelcomentarioCar"/>
    <w:uiPriority w:val="99"/>
    <w:semiHidden/>
    <w:unhideWhenUsed/>
    <w:rsid w:val="005B4733"/>
    <w:rPr>
      <w:b/>
      <w:bCs/>
    </w:rPr>
  </w:style>
  <w:style w:type="character" w:customStyle="1" w:styleId="AsuntodelcomentarioCar">
    <w:name w:val="Asunto del comentario Car"/>
    <w:basedOn w:val="TextocomentarioCar"/>
    <w:link w:val="Asuntodelcomentario"/>
    <w:uiPriority w:val="99"/>
    <w:semiHidden/>
    <w:rsid w:val="005B4733"/>
    <w:rPr>
      <w:b/>
      <w:bCs/>
      <w:sz w:val="20"/>
      <w:szCs w:val="20"/>
    </w:r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eur.com/uploads/files/geo_sustainabilityreport23_esp_11oct24_1728656673.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santiago@tinkle.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seur.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linkedin.com/company/SEUR" TargetMode="External"/><Relationship Id="rId4" Type="http://schemas.openxmlformats.org/officeDocument/2006/relationships/settings" Target="settings.xml"/><Relationship Id="rId9" Type="http://schemas.openxmlformats.org/officeDocument/2006/relationships/hyperlink" Target="https://twitter.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P0GFeIpI+Tx87g85z5JirZi3Ng==">CgMxLjAaJwoBMBIiCiAIBCocCgtBQUFCVUJXZ3ZBSRAIGgtBQUFCVUJXZ3ZBSSLxAQoLQUFBQlVCV2d2QUkSvwEKC0FBQUJVQldndkFJEgtBQUFCVUJXZ3ZBSRodCgl0ZXh0L2h0bWwSEEluY2x1aXIgbGEgbnVldmEiHgoKdGV4dC9wbGFpbhIQSW5jbHVpciBsYSBudWV2YSobIhUxMTQ4MzMzMzI4MTU0NzA0OTQzNTAoADgAMPH45/mrMjjx+Of5qzJaDG50YjQ0c3ZsM2kwOXICIAB4AIgBApoBBggAEAAYAKoBEhIQSW5jbHVpciBsYSBudWV2YbABALgBARjx+Of5qzIg8fjn+asyMABCEGtpeC5yM3cwa3JrcnF2azE4AHIhMVJkbHlZWVZsTzhLdDB0SG5jQ3JxTEZPSzRWRFlpeXp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1234</Words>
  <Characters>6788</Characters>
  <Application>Microsoft Office Word</Application>
  <DocSecurity>0</DocSecurity>
  <Lines>56</Lines>
  <Paragraphs>16</Paragraphs>
  <ScaleCrop>false</ScaleCrop>
  <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Barrera</dc:creator>
  <cp:lastModifiedBy>Ruben Santiago</cp:lastModifiedBy>
  <cp:revision>5</cp:revision>
  <dcterms:created xsi:type="dcterms:W3CDTF">2024-10-28T09:37:00Z</dcterms:created>
  <dcterms:modified xsi:type="dcterms:W3CDTF">2025-05-28T13:44:00Z</dcterms:modified>
</cp:coreProperties>
</file>