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44A0" w14:textId="77777777" w:rsidR="005C247A" w:rsidRDefault="005C247A">
      <w:pPr>
        <w:pBdr>
          <w:top w:val="nil"/>
          <w:left w:val="nil"/>
          <w:bottom w:val="nil"/>
          <w:right w:val="nil"/>
          <w:between w:val="nil"/>
        </w:pBdr>
        <w:shd w:val="clear" w:color="auto" w:fill="FFFFFF"/>
        <w:jc w:val="both"/>
        <w:rPr>
          <w:rFonts w:ascii="Arial" w:eastAsia="Arial" w:hAnsi="Arial" w:cs="Arial"/>
          <w:color w:val="FF0000"/>
          <w:sz w:val="29"/>
          <w:szCs w:val="29"/>
          <w:shd w:val="clear" w:color="auto" w:fill="F3F3F3"/>
        </w:rPr>
      </w:pPr>
    </w:p>
    <w:p w14:paraId="3CB796CD" w14:textId="77777777" w:rsidR="005C247A" w:rsidRDefault="005C247A">
      <w:pPr>
        <w:pBdr>
          <w:top w:val="nil"/>
          <w:left w:val="nil"/>
          <w:bottom w:val="nil"/>
          <w:right w:val="nil"/>
          <w:between w:val="nil"/>
        </w:pBdr>
        <w:shd w:val="clear" w:color="auto" w:fill="FFFFFF"/>
        <w:ind w:left="720"/>
        <w:jc w:val="both"/>
        <w:rPr>
          <w:rFonts w:ascii="Arial" w:eastAsia="Arial" w:hAnsi="Arial" w:cs="Arial"/>
          <w:color w:val="000000"/>
        </w:rPr>
      </w:pPr>
    </w:p>
    <w:p w14:paraId="6A2106DE" w14:textId="77777777" w:rsidR="005C247A" w:rsidRDefault="005F2799">
      <w:pPr>
        <w:jc w:val="center"/>
        <w:rPr>
          <w:rFonts w:ascii="Arial" w:eastAsia="Arial" w:hAnsi="Arial" w:cs="Arial"/>
          <w:b/>
          <w:sz w:val="38"/>
          <w:szCs w:val="38"/>
        </w:rPr>
      </w:pPr>
      <w:r>
        <w:rPr>
          <w:rFonts w:ascii="Arial" w:eastAsia="Arial" w:hAnsi="Arial" w:cs="Arial"/>
          <w:b/>
          <w:sz w:val="38"/>
          <w:szCs w:val="38"/>
        </w:rPr>
        <w:t>SEUR estrena el entorno digital miSEUR, una plataforma pionera y única para la gestión de envíos</w:t>
      </w:r>
    </w:p>
    <w:p w14:paraId="10116F08" w14:textId="77777777" w:rsidR="005C247A" w:rsidRDefault="005C247A">
      <w:pPr>
        <w:pBdr>
          <w:top w:val="nil"/>
          <w:left w:val="nil"/>
          <w:bottom w:val="nil"/>
          <w:right w:val="nil"/>
          <w:between w:val="nil"/>
        </w:pBdr>
        <w:shd w:val="clear" w:color="auto" w:fill="FFFFFF"/>
        <w:jc w:val="both"/>
        <w:rPr>
          <w:rFonts w:ascii="Arial" w:eastAsia="Arial" w:hAnsi="Arial" w:cs="Arial"/>
          <w:color w:val="FF0000"/>
        </w:rPr>
      </w:pPr>
    </w:p>
    <w:p w14:paraId="07DD4D77" w14:textId="77777777" w:rsidR="005C247A" w:rsidRDefault="005F2799">
      <w:pPr>
        <w:numPr>
          <w:ilvl w:val="0"/>
          <w:numId w:val="1"/>
        </w:numPr>
        <w:pBdr>
          <w:top w:val="nil"/>
          <w:left w:val="nil"/>
          <w:bottom w:val="nil"/>
          <w:right w:val="nil"/>
          <w:between w:val="nil"/>
        </w:pBdr>
        <w:shd w:val="clear" w:color="auto" w:fill="FFFFFF"/>
        <w:spacing w:after="200"/>
        <w:jc w:val="center"/>
        <w:rPr>
          <w:rFonts w:ascii="Calibri" w:eastAsia="Calibri" w:hAnsi="Calibri" w:cs="Calibri"/>
        </w:rPr>
      </w:pPr>
      <w:r>
        <w:rPr>
          <w:rFonts w:ascii="Calibri" w:eastAsia="Calibri" w:hAnsi="Calibri" w:cs="Calibri"/>
        </w:rPr>
        <w:t>miSEUR permite a los usuarios registrados gestionar sus envíos de forma ágil y flexible desde un único entorno digital</w:t>
      </w:r>
    </w:p>
    <w:p w14:paraId="4FF1939D" w14:textId="77777777" w:rsidR="005C247A" w:rsidRDefault="005F2799">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Visualizar los envíos como remitentes o destinatarios, recibir notificaciones que informan del estado de los envíos, reprogramar entregas en pocos clics y recuperar los envíos asociados al email o al móvil son algunas de las ventajas que ofrece esta innovadora plataforma</w:t>
      </w:r>
    </w:p>
    <w:p w14:paraId="01B8CF85" w14:textId="77777777" w:rsidR="005C247A" w:rsidRDefault="005C247A">
      <w:pPr>
        <w:pBdr>
          <w:top w:val="nil"/>
          <w:left w:val="nil"/>
          <w:bottom w:val="nil"/>
          <w:right w:val="nil"/>
          <w:between w:val="nil"/>
        </w:pBdr>
        <w:shd w:val="clear" w:color="auto" w:fill="FFFFFF"/>
        <w:ind w:left="720"/>
        <w:jc w:val="center"/>
        <w:rPr>
          <w:rFonts w:ascii="Calibri" w:eastAsia="Calibri" w:hAnsi="Calibri" w:cs="Calibri"/>
        </w:rPr>
      </w:pPr>
    </w:p>
    <w:p w14:paraId="29FDE0DB" w14:textId="77777777" w:rsidR="005C247A" w:rsidRDefault="005F2799">
      <w:pPr>
        <w:shd w:val="clear" w:color="auto" w:fill="FFFFFF"/>
        <w:jc w:val="both"/>
        <w:rPr>
          <w:rFonts w:ascii="Calibri" w:eastAsia="Calibri" w:hAnsi="Calibri" w:cs="Calibri"/>
        </w:rPr>
      </w:pPr>
      <w:r>
        <w:rPr>
          <w:rFonts w:ascii="Calibri" w:eastAsia="Calibri" w:hAnsi="Calibri" w:cs="Calibri"/>
          <w:b/>
        </w:rPr>
        <w:t>Madrid, 23 de octubre de 2023.</w:t>
      </w:r>
      <w:r>
        <w:rPr>
          <w:rFonts w:ascii="Calibri" w:eastAsia="Calibri" w:hAnsi="Calibri" w:cs="Calibri"/>
        </w:rPr>
        <w:t xml:space="preserve"> –  SEUR, la compañía líder de transporte urgente en España, impulsa su estrategia de orientación al cliente con el estreno de la nueva plataforma miSEUR para la gestión de envíos. Este nuevo entorno digital ha sido diseñado para adaptarse a las necesidades de usuarios cada vez más digitales, al ofrecer mayor transparencia en la información de seguimiento, así como un área privada con ventajas que personalizan la experiencia de cliente. </w:t>
      </w:r>
    </w:p>
    <w:p w14:paraId="0BA80C9A" w14:textId="77777777" w:rsidR="005C247A" w:rsidRDefault="005C247A">
      <w:pPr>
        <w:shd w:val="clear" w:color="auto" w:fill="FFFFFF"/>
        <w:jc w:val="both"/>
        <w:rPr>
          <w:rFonts w:ascii="Calibri" w:eastAsia="Calibri" w:hAnsi="Calibri" w:cs="Calibri"/>
        </w:rPr>
      </w:pPr>
    </w:p>
    <w:p w14:paraId="48F82EA9" w14:textId="77777777" w:rsidR="005C247A" w:rsidRDefault="005F2799">
      <w:pPr>
        <w:shd w:val="clear" w:color="auto" w:fill="FFFFFF"/>
        <w:jc w:val="both"/>
        <w:rPr>
          <w:rFonts w:ascii="Calibri" w:eastAsia="Calibri" w:hAnsi="Calibri" w:cs="Calibri"/>
        </w:rPr>
      </w:pPr>
      <w:r>
        <w:rPr>
          <w:rFonts w:ascii="Calibri" w:eastAsia="Calibri" w:hAnsi="Calibri" w:cs="Calibri"/>
        </w:rPr>
        <w:t>Desde esta pionera plataforma, se recuperan en el perfil del usuario todos los pedidos asociados a su email o móvil, los usuarios pueden visualizar sus envíos como remitentes o destinatarios, reprogramar sus entregas en pocos clics y recibir notificaciones que informan del estado de sus envíos. Además, los usuarios registrados recibirán un 10% de descuento en todos los envíos realizados en seur.com, así como otras promociones exclusivas.</w:t>
      </w:r>
    </w:p>
    <w:p w14:paraId="7422E481" w14:textId="77777777" w:rsidR="005C247A" w:rsidRDefault="005C247A">
      <w:pPr>
        <w:shd w:val="clear" w:color="auto" w:fill="FFFFFF"/>
        <w:jc w:val="both"/>
        <w:rPr>
          <w:rFonts w:ascii="Calibri" w:eastAsia="Calibri" w:hAnsi="Calibri" w:cs="Calibri"/>
        </w:rPr>
      </w:pPr>
    </w:p>
    <w:p w14:paraId="79A52444" w14:textId="77777777" w:rsidR="005C247A" w:rsidRDefault="005F2799">
      <w:pPr>
        <w:shd w:val="clear" w:color="auto" w:fill="FFFFFF"/>
        <w:jc w:val="both"/>
        <w:rPr>
          <w:rFonts w:ascii="Calibri" w:eastAsia="Calibri" w:hAnsi="Calibri" w:cs="Calibri"/>
        </w:rPr>
      </w:pPr>
      <w:r>
        <w:rPr>
          <w:rFonts w:ascii="Calibri" w:eastAsia="Calibri" w:hAnsi="Calibri" w:cs="Calibri"/>
        </w:rPr>
        <w:t>De este modo, con miSEUR, los clientes registrados, tanto empresas como particulares, disfrutarán de una mayor flexibilidad en los servicios ofrecidos por SEUR en un único espacio digital. En palabras de David Sastre, director de Clientes de SEUR, “</w:t>
      </w:r>
      <w:r>
        <w:rPr>
          <w:rFonts w:ascii="Calibri" w:eastAsia="Calibri" w:hAnsi="Calibri" w:cs="Calibri"/>
          <w:i/>
        </w:rPr>
        <w:t>esta nueva plataforma se define en dos palabras: agilidad y flexibilidad. Por un lado, nuestros clientes encontrarán una manera más ágil y sencilla de poder acceder, con un solo vistazo, a toda la información relevante del pedido que han realizado. Por otro, al tener todo lo necesario para gestionar su envío, se convierte en un proceso más flexible y personalizado. Es por ello que, con este lanzamiento, innovamos una vez más para crear una experiencia de usuario que ponga en el centro las necesidades de nuestros clientes, nuestra máxima prioridad</w:t>
      </w:r>
      <w:r>
        <w:rPr>
          <w:rFonts w:ascii="Calibri" w:eastAsia="Calibri" w:hAnsi="Calibri" w:cs="Calibri"/>
        </w:rPr>
        <w:t>”.</w:t>
      </w:r>
    </w:p>
    <w:p w14:paraId="4F6D4B33" w14:textId="77777777" w:rsidR="005C247A" w:rsidRDefault="005C247A">
      <w:pPr>
        <w:shd w:val="clear" w:color="auto" w:fill="FFFFFF"/>
        <w:jc w:val="both"/>
        <w:rPr>
          <w:rFonts w:ascii="Calibri" w:eastAsia="Calibri" w:hAnsi="Calibri" w:cs="Calibri"/>
        </w:rPr>
      </w:pPr>
    </w:p>
    <w:p w14:paraId="2EEABF2A" w14:textId="77777777" w:rsidR="005C247A" w:rsidRDefault="005F2799">
      <w:pPr>
        <w:shd w:val="clear" w:color="auto" w:fill="FFFFFF"/>
        <w:jc w:val="both"/>
        <w:rPr>
          <w:rFonts w:ascii="Calibri" w:eastAsia="Calibri" w:hAnsi="Calibri" w:cs="Calibri"/>
          <w:b/>
        </w:rPr>
      </w:pPr>
      <w:r>
        <w:rPr>
          <w:rFonts w:ascii="Calibri" w:eastAsia="Calibri" w:hAnsi="Calibri" w:cs="Calibri"/>
          <w:b/>
        </w:rPr>
        <w:t>Una plataforma que contribuye a la descarbonización</w:t>
      </w:r>
    </w:p>
    <w:p w14:paraId="7EB48DB7" w14:textId="77777777" w:rsidR="005C247A" w:rsidRDefault="005C247A">
      <w:pPr>
        <w:shd w:val="clear" w:color="auto" w:fill="FFFFFF"/>
        <w:jc w:val="both"/>
        <w:rPr>
          <w:rFonts w:ascii="Calibri" w:eastAsia="Calibri" w:hAnsi="Calibri" w:cs="Calibri"/>
        </w:rPr>
      </w:pPr>
    </w:p>
    <w:p w14:paraId="6FAD8F0D" w14:textId="77777777" w:rsidR="005C247A" w:rsidRDefault="005F2799">
      <w:pPr>
        <w:shd w:val="clear" w:color="auto" w:fill="FFFFFF"/>
        <w:jc w:val="both"/>
        <w:rPr>
          <w:rFonts w:ascii="Calibri" w:eastAsia="Calibri" w:hAnsi="Calibri" w:cs="Calibri"/>
        </w:rPr>
      </w:pPr>
      <w:r>
        <w:rPr>
          <w:rFonts w:ascii="Calibri" w:eastAsia="Calibri" w:hAnsi="Calibri" w:cs="Calibri"/>
        </w:rPr>
        <w:t xml:space="preserve">La unificación de todas las ventajas que ofrece SEUR también repercute positivamente en el medioambiente. Al poder gestionar de manera ágil y con pocos clics, el cambio en el día de entrega o la redirección del pedido a un locker (taquilla inteligente) o tienda de conveniencia, se evitan desplazamientos innecesarios y, por tanto, se reducen </w:t>
      </w:r>
      <w:r>
        <w:rPr>
          <w:rFonts w:ascii="Calibri" w:eastAsia="Calibri" w:hAnsi="Calibri" w:cs="Calibri"/>
        </w:rPr>
        <w:lastRenderedPageBreak/>
        <w:t xml:space="preserve">emisiones de CO2. De hecho, las soluciones </w:t>
      </w:r>
      <w:r>
        <w:rPr>
          <w:rFonts w:ascii="Calibri" w:eastAsia="Calibri" w:hAnsi="Calibri" w:cs="Calibri"/>
          <w:i/>
        </w:rPr>
        <w:t xml:space="preserve">Out of Home </w:t>
      </w:r>
      <w:r>
        <w:rPr>
          <w:rFonts w:ascii="Calibri" w:eastAsia="Calibri" w:hAnsi="Calibri" w:cs="Calibri"/>
        </w:rPr>
        <w:t>disminuyen en un 63% las emisiones de CO2 asociadas a servicios de última milla.</w:t>
      </w:r>
    </w:p>
    <w:p w14:paraId="7055E360" w14:textId="77777777" w:rsidR="005C247A" w:rsidRDefault="005C247A">
      <w:pPr>
        <w:shd w:val="clear" w:color="auto" w:fill="FFFFFF"/>
        <w:jc w:val="both"/>
        <w:rPr>
          <w:rFonts w:ascii="Calibri" w:eastAsia="Calibri" w:hAnsi="Calibri" w:cs="Calibri"/>
        </w:rPr>
      </w:pPr>
    </w:p>
    <w:p w14:paraId="2A00CB3E" w14:textId="77777777" w:rsidR="005C247A" w:rsidRDefault="005F2799">
      <w:pPr>
        <w:shd w:val="clear" w:color="auto" w:fill="FFFFFF"/>
        <w:jc w:val="both"/>
        <w:rPr>
          <w:rFonts w:ascii="Calibri" w:eastAsia="Calibri" w:hAnsi="Calibri" w:cs="Calibri"/>
        </w:rPr>
      </w:pPr>
      <w:r>
        <w:rPr>
          <w:rFonts w:ascii="Calibri" w:eastAsia="Calibri" w:hAnsi="Calibri" w:cs="Calibri"/>
        </w:rPr>
        <w:t>En este sentido, SEUR se consolida como el referente del sector del transporte y la logística en España en términos de sostenibilidad. En cifras, el año pasado la compañía entregó más de 22 millones de paquetes con su flota sostenible y compensó más de 96.000 toneladas de CO2.</w:t>
      </w:r>
    </w:p>
    <w:p w14:paraId="7B81DC9E" w14:textId="77777777" w:rsidR="005C247A" w:rsidRDefault="005C247A">
      <w:pPr>
        <w:shd w:val="clear" w:color="auto" w:fill="FFFFFF"/>
        <w:jc w:val="both"/>
        <w:rPr>
          <w:rFonts w:ascii="Calibri" w:eastAsia="Calibri" w:hAnsi="Calibri" w:cs="Calibri"/>
        </w:rPr>
      </w:pPr>
    </w:p>
    <w:p w14:paraId="3FF98419" w14:textId="77777777" w:rsidR="005C247A" w:rsidRDefault="005C247A">
      <w:pPr>
        <w:shd w:val="clear" w:color="auto" w:fill="FFFFFF"/>
        <w:jc w:val="both"/>
        <w:rPr>
          <w:rFonts w:ascii="Calibri" w:eastAsia="Calibri" w:hAnsi="Calibri" w:cs="Calibri"/>
        </w:rPr>
      </w:pPr>
    </w:p>
    <w:p w14:paraId="624D7FBB" w14:textId="77777777" w:rsidR="005C247A" w:rsidRDefault="005C247A">
      <w:pPr>
        <w:shd w:val="clear" w:color="auto" w:fill="FFFFFF"/>
        <w:jc w:val="both"/>
        <w:rPr>
          <w:rFonts w:ascii="Calibri" w:eastAsia="Calibri" w:hAnsi="Calibri" w:cs="Calibri"/>
        </w:rPr>
      </w:pPr>
    </w:p>
    <w:p w14:paraId="522A222B" w14:textId="77777777" w:rsidR="005C247A" w:rsidRDefault="005F2799">
      <w:pPr>
        <w:pBdr>
          <w:top w:val="single" w:sz="4" w:space="1" w:color="000000"/>
          <w:left w:val="nil"/>
          <w:bottom w:val="nil"/>
          <w:right w:val="nil"/>
          <w:between w:val="nil"/>
        </w:pBdr>
        <w:jc w:val="both"/>
        <w:rPr>
          <w:rFonts w:ascii="Arial" w:eastAsia="Arial" w:hAnsi="Arial" w:cs="Arial"/>
          <w:b/>
          <w:color w:val="000000"/>
          <w:sz w:val="16"/>
          <w:szCs w:val="16"/>
          <w:u w:val="single"/>
        </w:rPr>
      </w:pPr>
      <w:r>
        <w:rPr>
          <w:rFonts w:ascii="Arial" w:eastAsia="Arial" w:hAnsi="Arial" w:cs="Arial"/>
          <w:b/>
          <w:color w:val="000000"/>
          <w:sz w:val="16"/>
          <w:szCs w:val="16"/>
          <w:u w:val="single"/>
        </w:rPr>
        <w:t xml:space="preserve">Acerca de SEUR </w:t>
      </w:r>
    </w:p>
    <w:p w14:paraId="356DA16A" w14:textId="77777777" w:rsidR="005C247A" w:rsidRDefault="005F2799">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49D63886" w14:textId="77777777" w:rsidR="005C247A" w:rsidRDefault="005F2799">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3A433E6D" w14:textId="77777777" w:rsidR="005C247A" w:rsidRDefault="005C247A"/>
    <w:p w14:paraId="40BEBBF5" w14:textId="77777777" w:rsidR="005C247A" w:rsidRDefault="005F2799">
      <w:pPr>
        <w:pBdr>
          <w:top w:val="nil"/>
          <w:left w:val="nil"/>
          <w:bottom w:val="nil"/>
          <w:right w:val="nil"/>
          <w:between w:val="nil"/>
        </w:pBdr>
        <w:jc w:val="both"/>
        <w:rPr>
          <w:color w:val="000000"/>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w:t>
      </w:r>
      <w:r>
        <w:rPr>
          <w:rFonts w:ascii="Arial" w:eastAsia="Arial" w:hAnsi="Arial" w:cs="Arial"/>
          <w:sz w:val="16"/>
          <w:szCs w:val="16"/>
        </w:rPr>
        <w:t>5</w:t>
      </w:r>
      <w:r>
        <w:rPr>
          <w:rFonts w:ascii="Arial" w:eastAsia="Arial" w:hAnsi="Arial" w:cs="Arial"/>
          <w:color w:val="000000"/>
          <w:sz w:val="16"/>
          <w:szCs w:val="16"/>
        </w:rPr>
        <w:t>00 puntos, entre tiendas de conveniencia y lockers.</w:t>
      </w:r>
    </w:p>
    <w:p w14:paraId="703D701B" w14:textId="77777777" w:rsidR="005C247A" w:rsidRDefault="005F2799">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0002AE4E" w14:textId="77777777" w:rsidR="005C247A" w:rsidRDefault="005F2799">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01E5886F" w14:textId="77777777" w:rsidR="005C247A" w:rsidRDefault="005F2799">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5DAFB03D" w14:textId="77777777" w:rsidR="005C247A" w:rsidRDefault="005F2799">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3808F864" w14:textId="77777777" w:rsidR="005C247A" w:rsidRDefault="005F2799">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4B2DD8BD" w14:textId="77777777" w:rsidR="005C247A" w:rsidRDefault="005F2799">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4"/>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5C247A" w14:paraId="1F09FC85"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09E48" w14:textId="77777777" w:rsidR="005C247A" w:rsidRDefault="005F2799">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1C24FEE9" w14:textId="77777777" w:rsidR="005C247A" w:rsidRDefault="005F2799">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76D67144" w14:textId="77777777" w:rsidR="005C247A" w:rsidRDefault="005C247A" w:rsidP="00A82CFD">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C44793" w14:textId="77777777" w:rsidR="005C247A" w:rsidRDefault="005F2799">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53FA8E45" w14:textId="77777777" w:rsidR="005C247A" w:rsidRPr="005F2799" w:rsidRDefault="005F2799">
            <w:pPr>
              <w:spacing w:before="240" w:line="276" w:lineRule="auto"/>
              <w:ind w:left="120"/>
              <w:jc w:val="both"/>
              <w:rPr>
                <w:rFonts w:ascii="Arial" w:eastAsia="Arial" w:hAnsi="Arial" w:cs="Arial"/>
                <w:b/>
                <w:sz w:val="16"/>
                <w:szCs w:val="16"/>
                <w:lang w:val="en-GB"/>
              </w:rPr>
            </w:pPr>
            <w:r w:rsidRPr="005F2799">
              <w:rPr>
                <w:rFonts w:ascii="Arial" w:eastAsia="Arial" w:hAnsi="Arial" w:cs="Arial"/>
                <w:b/>
                <w:sz w:val="16"/>
                <w:szCs w:val="16"/>
                <w:lang w:val="en-GB"/>
              </w:rPr>
              <w:t>TINKLE</w:t>
            </w:r>
          </w:p>
          <w:p w14:paraId="4E30CBED" w14:textId="77777777" w:rsidR="005C247A" w:rsidRPr="005F2799" w:rsidRDefault="005F2799">
            <w:pPr>
              <w:spacing w:before="240" w:line="276" w:lineRule="auto"/>
              <w:ind w:left="120"/>
              <w:jc w:val="both"/>
              <w:rPr>
                <w:rFonts w:ascii="Arial" w:eastAsia="Arial" w:hAnsi="Arial" w:cs="Arial"/>
                <w:b/>
                <w:sz w:val="16"/>
                <w:szCs w:val="16"/>
                <w:lang w:val="en-GB"/>
              </w:rPr>
            </w:pPr>
            <w:r w:rsidRPr="005F2799">
              <w:rPr>
                <w:rFonts w:ascii="Arial" w:eastAsia="Arial" w:hAnsi="Arial" w:cs="Arial"/>
                <w:b/>
                <w:sz w:val="16"/>
                <w:szCs w:val="16"/>
                <w:lang w:val="en-GB"/>
              </w:rPr>
              <w:t xml:space="preserve">91 702 10 10 </w:t>
            </w:r>
          </w:p>
          <w:p w14:paraId="410C1B4A" w14:textId="77777777" w:rsidR="005C247A" w:rsidRPr="005F2799" w:rsidRDefault="005F2799">
            <w:pPr>
              <w:spacing w:before="240" w:line="276" w:lineRule="auto"/>
              <w:ind w:left="120"/>
              <w:jc w:val="both"/>
              <w:rPr>
                <w:rFonts w:ascii="Arial" w:eastAsia="Arial" w:hAnsi="Arial" w:cs="Arial"/>
                <w:b/>
                <w:color w:val="0563C1"/>
                <w:sz w:val="16"/>
                <w:szCs w:val="16"/>
                <w:lang w:val="en-GB"/>
              </w:rPr>
            </w:pPr>
            <w:r w:rsidRPr="005F2799">
              <w:rPr>
                <w:rFonts w:ascii="Arial" w:eastAsia="Arial" w:hAnsi="Arial" w:cs="Arial"/>
                <w:b/>
                <w:color w:val="0563C1"/>
                <w:sz w:val="16"/>
                <w:szCs w:val="16"/>
                <w:lang w:val="en-GB"/>
              </w:rPr>
              <w:t>ebarrera@tinkle.es</w:t>
            </w:r>
          </w:p>
          <w:p w14:paraId="087FB7B5" w14:textId="77777777" w:rsidR="005C247A" w:rsidRPr="005F2799" w:rsidRDefault="005F2799">
            <w:pPr>
              <w:spacing w:before="240" w:line="276" w:lineRule="auto"/>
              <w:ind w:left="120"/>
              <w:jc w:val="both"/>
              <w:rPr>
                <w:rFonts w:ascii="Arial" w:eastAsia="Arial" w:hAnsi="Arial" w:cs="Arial"/>
                <w:b/>
                <w:color w:val="0563C1"/>
                <w:sz w:val="16"/>
                <w:szCs w:val="16"/>
                <w:lang w:val="en-GB"/>
              </w:rPr>
            </w:pPr>
            <w:r w:rsidRPr="005F2799">
              <w:rPr>
                <w:rFonts w:ascii="Arial" w:eastAsia="Arial" w:hAnsi="Arial" w:cs="Arial"/>
                <w:b/>
                <w:color w:val="0563C1"/>
                <w:sz w:val="16"/>
                <w:szCs w:val="16"/>
                <w:lang w:val="en-GB"/>
              </w:rPr>
              <w:t>rsantiago@tinkle.es</w:t>
            </w:r>
          </w:p>
          <w:p w14:paraId="26B75BB8" w14:textId="77777777" w:rsidR="005C247A" w:rsidRDefault="005F2799">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634667D3" w14:textId="77777777" w:rsidR="005C247A" w:rsidRDefault="005C247A">
            <w:pPr>
              <w:spacing w:before="240" w:line="276" w:lineRule="auto"/>
              <w:ind w:left="120"/>
              <w:jc w:val="both"/>
              <w:rPr>
                <w:rFonts w:ascii="Arial" w:eastAsia="Arial" w:hAnsi="Arial" w:cs="Arial"/>
                <w:b/>
                <w:color w:val="0563C1"/>
                <w:sz w:val="16"/>
                <w:szCs w:val="16"/>
              </w:rPr>
            </w:pPr>
          </w:p>
        </w:tc>
      </w:tr>
    </w:tbl>
    <w:p w14:paraId="5D293F40" w14:textId="77777777" w:rsidR="005C247A" w:rsidRDefault="005C247A">
      <w:pPr>
        <w:pBdr>
          <w:top w:val="single" w:sz="4" w:space="1" w:color="000000"/>
        </w:pBdr>
        <w:spacing w:after="200" w:line="360" w:lineRule="auto"/>
        <w:ind w:right="-285"/>
        <w:jc w:val="both"/>
        <w:rPr>
          <w:rFonts w:ascii="Arial" w:eastAsia="Arial" w:hAnsi="Arial" w:cs="Arial"/>
          <w:sz w:val="16"/>
          <w:szCs w:val="16"/>
        </w:rPr>
      </w:pPr>
    </w:p>
    <w:p w14:paraId="126C584A" w14:textId="77777777" w:rsidR="005C247A" w:rsidRDefault="005C247A">
      <w:pPr>
        <w:jc w:val="both"/>
        <w:rPr>
          <w:rFonts w:ascii="Arial" w:eastAsia="Arial" w:hAnsi="Arial" w:cs="Arial"/>
          <w:sz w:val="20"/>
          <w:szCs w:val="20"/>
        </w:rPr>
      </w:pPr>
    </w:p>
    <w:p w14:paraId="6183C0C9" w14:textId="77777777" w:rsidR="005C247A" w:rsidRDefault="005C247A">
      <w:pPr>
        <w:rPr>
          <w:rFonts w:ascii="Arial" w:eastAsia="Arial" w:hAnsi="Arial" w:cs="Arial"/>
          <w:sz w:val="22"/>
          <w:szCs w:val="22"/>
        </w:rPr>
      </w:pPr>
    </w:p>
    <w:p w14:paraId="1687B7D0" w14:textId="77777777" w:rsidR="005C247A" w:rsidRDefault="005C247A">
      <w:pPr>
        <w:jc w:val="both"/>
        <w:rPr>
          <w:rFonts w:ascii="Arial" w:eastAsia="Arial" w:hAnsi="Arial" w:cs="Arial"/>
          <w:sz w:val="22"/>
          <w:szCs w:val="22"/>
        </w:rPr>
      </w:pPr>
    </w:p>
    <w:p w14:paraId="6FA36367" w14:textId="77777777" w:rsidR="005C247A" w:rsidRDefault="005C247A">
      <w:pPr>
        <w:jc w:val="both"/>
        <w:rPr>
          <w:rFonts w:ascii="Arial" w:eastAsia="Arial" w:hAnsi="Arial" w:cs="Arial"/>
          <w:sz w:val="22"/>
          <w:szCs w:val="22"/>
        </w:rPr>
      </w:pPr>
    </w:p>
    <w:p w14:paraId="6A295323" w14:textId="77777777" w:rsidR="005C247A" w:rsidRDefault="005C247A">
      <w:pPr>
        <w:jc w:val="both"/>
        <w:rPr>
          <w:rFonts w:ascii="Arial" w:eastAsia="Arial" w:hAnsi="Arial" w:cs="Arial"/>
          <w:sz w:val="22"/>
          <w:szCs w:val="22"/>
        </w:rPr>
      </w:pPr>
    </w:p>
    <w:p w14:paraId="4E675522" w14:textId="77777777" w:rsidR="005C247A" w:rsidRDefault="005C247A">
      <w:pPr>
        <w:spacing w:after="200"/>
        <w:rPr>
          <w:rFonts w:ascii="Arial" w:eastAsia="Arial" w:hAnsi="Arial" w:cs="Arial"/>
          <w:color w:val="000000"/>
          <w:sz w:val="22"/>
          <w:szCs w:val="22"/>
        </w:rPr>
      </w:pPr>
    </w:p>
    <w:p w14:paraId="6D39D702" w14:textId="77777777" w:rsidR="005C247A" w:rsidRDefault="005C247A">
      <w:pPr>
        <w:rPr>
          <w:rFonts w:ascii="Arial" w:eastAsia="Arial" w:hAnsi="Arial" w:cs="Arial"/>
          <w:sz w:val="20"/>
          <w:szCs w:val="20"/>
        </w:rPr>
      </w:pPr>
    </w:p>
    <w:sectPr w:rsidR="005C247A">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19CC" w14:textId="77777777" w:rsidR="005F2799" w:rsidRDefault="005F2799">
      <w:r>
        <w:separator/>
      </w:r>
    </w:p>
  </w:endnote>
  <w:endnote w:type="continuationSeparator" w:id="0">
    <w:p w14:paraId="55E05569" w14:textId="77777777" w:rsidR="005F2799" w:rsidRDefault="005F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69E0" w14:textId="77777777" w:rsidR="005F2799" w:rsidRDefault="005F2799">
      <w:r>
        <w:separator/>
      </w:r>
    </w:p>
  </w:footnote>
  <w:footnote w:type="continuationSeparator" w:id="0">
    <w:p w14:paraId="2AE67DC5" w14:textId="77777777" w:rsidR="005F2799" w:rsidRDefault="005F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F4C6" w14:textId="77777777" w:rsidR="005C247A" w:rsidRDefault="005F2799">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4E6D0980" wp14:editId="481244DF">
          <wp:simplePos x="0" y="0"/>
          <wp:positionH relativeFrom="column">
            <wp:posOffset>8</wp:posOffset>
          </wp:positionH>
          <wp:positionV relativeFrom="paragraph">
            <wp:posOffset>-628</wp:posOffset>
          </wp:positionV>
          <wp:extent cx="1209675" cy="291465"/>
          <wp:effectExtent l="0" t="0" r="0" b="0"/>
          <wp:wrapNone/>
          <wp:docPr id="11"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FE902E3" wp14:editId="2920C38A">
          <wp:simplePos x="0" y="0"/>
          <wp:positionH relativeFrom="column">
            <wp:posOffset>4643755</wp:posOffset>
          </wp:positionH>
          <wp:positionV relativeFrom="paragraph">
            <wp:posOffset>-95876</wp:posOffset>
          </wp:positionV>
          <wp:extent cx="756285" cy="419100"/>
          <wp:effectExtent l="0" t="0" r="0" b="0"/>
          <wp:wrapSquare wrapText="bothSides" distT="114300" distB="114300" distL="114300" distR="114300"/>
          <wp:docPr id="12"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60820E0B" w14:textId="77777777" w:rsidR="005C247A" w:rsidRDefault="005C247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57722"/>
    <w:multiLevelType w:val="multilevel"/>
    <w:tmpl w:val="461C2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291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7A"/>
    <w:rsid w:val="000C6953"/>
    <w:rsid w:val="005C247A"/>
    <w:rsid w:val="005F2799"/>
    <w:rsid w:val="0088537D"/>
    <w:rsid w:val="00A82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6307"/>
  <w15:docId w15:val="{51172132-64B2-4AB1-B2EB-BFBD8F7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863020"/>
    <w:rPr>
      <w:color w:val="0000FF" w:themeColor="hyperlink"/>
      <w:u w:val="single"/>
    </w:rPr>
  </w:style>
  <w:style w:type="character" w:styleId="Mencinsinresolver">
    <w:name w:val="Unresolved Mention"/>
    <w:basedOn w:val="Fuentedeprrafopredeter"/>
    <w:uiPriority w:val="99"/>
    <w:semiHidden/>
    <w:unhideWhenUsed/>
    <w:rsid w:val="00863020"/>
    <w:rPr>
      <w:color w:val="605E5C"/>
      <w:shd w:val="clear" w:color="auto" w:fill="E1DFDD"/>
    </w:rPr>
  </w:style>
  <w:style w:type="paragraph" w:styleId="NormalWeb">
    <w:name w:val="Normal (Web)"/>
    <w:basedOn w:val="Normal"/>
    <w:uiPriority w:val="99"/>
    <w:unhideWhenUsed/>
    <w:rsid w:val="00CC2C86"/>
    <w:pPr>
      <w:spacing w:before="100" w:beforeAutospacing="1" w:after="100" w:afterAutospacing="1"/>
    </w:pPr>
    <w:rPr>
      <w:rFonts w:ascii="Calibri" w:eastAsiaTheme="minorHAnsi" w:hAnsi="Calibri" w:cs="Calibri"/>
      <w:sz w:val="22"/>
      <w:szCs w:val="22"/>
    </w:rPr>
  </w:style>
  <w:style w:type="paragraph" w:styleId="Prrafodelista">
    <w:name w:val="List Paragraph"/>
    <w:basedOn w:val="Normal"/>
    <w:uiPriority w:val="34"/>
    <w:qFormat/>
    <w:rsid w:val="00754BBB"/>
    <w:pPr>
      <w:spacing w:line="276" w:lineRule="auto"/>
      <w:ind w:left="720"/>
      <w:contextualSpacing/>
    </w:pPr>
    <w:rPr>
      <w:rFonts w:ascii="Arial" w:eastAsia="Arial" w:hAnsi="Arial" w:cs="Arial"/>
      <w:sz w:val="22"/>
      <w:szCs w:val="22"/>
      <w:lang w:val="es"/>
    </w:r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Revisin">
    <w:name w:val="Revision"/>
    <w:hidden/>
    <w:uiPriority w:val="99"/>
    <w:semiHidden/>
    <w:rsid w:val="00D11D61"/>
  </w:style>
  <w:style w:type="character" w:styleId="Refdecomentario">
    <w:name w:val="annotation reference"/>
    <w:basedOn w:val="Fuentedeprrafopredeter"/>
    <w:uiPriority w:val="99"/>
    <w:semiHidden/>
    <w:unhideWhenUsed/>
    <w:rsid w:val="00D11D61"/>
    <w:rPr>
      <w:sz w:val="16"/>
      <w:szCs w:val="16"/>
    </w:rPr>
  </w:style>
  <w:style w:type="paragraph" w:styleId="Textocomentario">
    <w:name w:val="annotation text"/>
    <w:basedOn w:val="Normal"/>
    <w:link w:val="TextocomentarioCar"/>
    <w:uiPriority w:val="99"/>
    <w:unhideWhenUsed/>
    <w:rsid w:val="00D11D61"/>
    <w:rPr>
      <w:sz w:val="20"/>
      <w:szCs w:val="20"/>
    </w:rPr>
  </w:style>
  <w:style w:type="character" w:customStyle="1" w:styleId="TextocomentarioCar">
    <w:name w:val="Texto comentario Car"/>
    <w:basedOn w:val="Fuentedeprrafopredeter"/>
    <w:link w:val="Textocomentario"/>
    <w:uiPriority w:val="99"/>
    <w:rsid w:val="00D11D61"/>
    <w:rPr>
      <w:sz w:val="20"/>
      <w:szCs w:val="20"/>
    </w:rPr>
  </w:style>
  <w:style w:type="paragraph" w:styleId="Asuntodelcomentario">
    <w:name w:val="annotation subject"/>
    <w:basedOn w:val="Textocomentario"/>
    <w:next w:val="Textocomentario"/>
    <w:link w:val="AsuntodelcomentarioCar"/>
    <w:uiPriority w:val="99"/>
    <w:semiHidden/>
    <w:unhideWhenUsed/>
    <w:rsid w:val="00D11D61"/>
    <w:rPr>
      <w:b/>
      <w:bCs/>
    </w:rPr>
  </w:style>
  <w:style w:type="character" w:customStyle="1" w:styleId="AsuntodelcomentarioCar">
    <w:name w:val="Asunto del comentario Car"/>
    <w:basedOn w:val="TextocomentarioCar"/>
    <w:link w:val="Asuntodelcomentario"/>
    <w:uiPriority w:val="99"/>
    <w:semiHidden/>
    <w:rsid w:val="00D11D61"/>
    <w:rPr>
      <w:b/>
      <w:bCs/>
      <w:sz w:val="20"/>
      <w:szCs w:val="20"/>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F2799"/>
    <w:pPr>
      <w:tabs>
        <w:tab w:val="center" w:pos="4252"/>
        <w:tab w:val="right" w:pos="8504"/>
      </w:tabs>
    </w:pPr>
  </w:style>
  <w:style w:type="character" w:customStyle="1" w:styleId="EncabezadoCar">
    <w:name w:val="Encabezado Car"/>
    <w:basedOn w:val="Fuentedeprrafopredeter"/>
    <w:link w:val="Encabezado"/>
    <w:uiPriority w:val="99"/>
    <w:rsid w:val="005F2799"/>
  </w:style>
  <w:style w:type="paragraph" w:styleId="Piedepgina">
    <w:name w:val="footer"/>
    <w:basedOn w:val="Normal"/>
    <w:link w:val="PiedepginaCar"/>
    <w:uiPriority w:val="99"/>
    <w:unhideWhenUsed/>
    <w:rsid w:val="005F2799"/>
    <w:pPr>
      <w:tabs>
        <w:tab w:val="center" w:pos="4252"/>
        <w:tab w:val="right" w:pos="8504"/>
      </w:tabs>
    </w:pPr>
  </w:style>
  <w:style w:type="character" w:customStyle="1" w:styleId="PiedepginaCar">
    <w:name w:val="Pie de página Car"/>
    <w:basedOn w:val="Fuentedeprrafopredeter"/>
    <w:link w:val="Piedepgina"/>
    <w:uiPriority w:val="99"/>
    <w:rsid w:val="005F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75TRnU+mxxZYoY87L80UOhlUaA==">CgMxLjA4AHIhMVYyWFROcVp0UHVndVh1NHZwdnlmM2FDWG5HaTUzZHFD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Elena Barrera</cp:lastModifiedBy>
  <cp:revision>3</cp:revision>
  <cp:lastPrinted>2023-10-30T10:26:00Z</cp:lastPrinted>
  <dcterms:created xsi:type="dcterms:W3CDTF">2023-10-02T12:02:00Z</dcterms:created>
  <dcterms:modified xsi:type="dcterms:W3CDTF">2025-05-28T14:01:00Z</dcterms:modified>
</cp:coreProperties>
</file>