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8DE4" w14:textId="77777777" w:rsidR="007656FD" w:rsidRDefault="0063220B">
      <w:pPr>
        <w:tabs>
          <w:tab w:val="left" w:pos="7000"/>
        </w:tabs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SEUR apuesta por la economía circular con el nuevo servicio Buy Back </w:t>
      </w:r>
    </w:p>
    <w:p w14:paraId="56BE4143" w14:textId="77777777" w:rsidR="007656FD" w:rsidRDefault="00765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</w:p>
    <w:p w14:paraId="5BDA9495" w14:textId="77777777" w:rsidR="007656FD" w:rsidRDefault="00632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La compañía, de la mano de la empresa Recommerce, estrena este proyecto piloto con el objetivo de impulsar la economía circular a través del reacondicionamiento de </w:t>
      </w:r>
      <w:r>
        <w:rPr>
          <w:rFonts w:ascii="Calibri" w:eastAsia="Calibri" w:hAnsi="Calibri" w:cs="Calibri"/>
        </w:rPr>
        <w:t>dispositivos electrónicos</w:t>
      </w:r>
    </w:p>
    <w:p w14:paraId="6B8311E3" w14:textId="77777777" w:rsidR="007656FD" w:rsidRDefault="00765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Calibri" w:eastAsia="Calibri" w:hAnsi="Calibri" w:cs="Calibri"/>
          <w:color w:val="000000"/>
        </w:rPr>
      </w:pPr>
    </w:p>
    <w:p w14:paraId="1E5211AD" w14:textId="77777777" w:rsidR="007656FD" w:rsidRDefault="00632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Este servicio pionero contribuye a la reutilización del móvil, tableta u ordenador y a la reducción de la huella de carbono</w:t>
      </w:r>
    </w:p>
    <w:p w14:paraId="4D7CD604" w14:textId="77777777" w:rsidR="007656FD" w:rsidRDefault="00765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Calibri" w:eastAsia="Calibri" w:hAnsi="Calibri" w:cs="Calibri"/>
          <w:color w:val="000000"/>
        </w:rPr>
      </w:pPr>
    </w:p>
    <w:p w14:paraId="492B2BD2" w14:textId="3A6502A6" w:rsidR="007656FD" w:rsidRDefault="0063220B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Madrid, </w:t>
      </w:r>
      <w:r w:rsidR="00A656CC">
        <w:rPr>
          <w:rFonts w:ascii="Calibri" w:eastAsia="Calibri" w:hAnsi="Calibri" w:cs="Calibri"/>
          <w:b/>
        </w:rPr>
        <w:t>19</w:t>
      </w:r>
      <w:r>
        <w:rPr>
          <w:rFonts w:ascii="Calibri" w:eastAsia="Calibri" w:hAnsi="Calibri" w:cs="Calibri"/>
          <w:b/>
        </w:rPr>
        <w:t xml:space="preserve"> de octubre de 2023</w:t>
      </w:r>
      <w:r>
        <w:rPr>
          <w:rFonts w:ascii="Calibri" w:eastAsia="Calibri" w:hAnsi="Calibri" w:cs="Calibri"/>
        </w:rPr>
        <w:t xml:space="preserve"> – SEUR, la compañía líder de transporte urgente en España, vuelve a innova</w:t>
      </w:r>
      <w:r>
        <w:rPr>
          <w:rFonts w:ascii="Calibri" w:eastAsia="Calibri" w:hAnsi="Calibri" w:cs="Calibri"/>
        </w:rPr>
        <w:t>r para ofrecer una mejor experiencia a sus clientes. En este caso, colabora con la empresa francesa Recommerce en el proyecto Buy Back, un servicio piloto que facilita la reutilización de dispositivos electrónicos mediante su venta y reacondicionamiento.</w:t>
      </w:r>
    </w:p>
    <w:p w14:paraId="183D055D" w14:textId="77777777" w:rsidR="007656FD" w:rsidRDefault="007656FD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78036DBD" w14:textId="77777777" w:rsidR="007656FD" w:rsidRDefault="0063220B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servicio fue lanzado por primera vez en Francia a través de Chronopost, una de las empresas europeas del grupo Geopost, como parte de la iniciativa HelloDPD. Buy Back permite a los compradores online poder sacar el máximo partido a los dispositivos e</w:t>
      </w:r>
      <w:r>
        <w:rPr>
          <w:rFonts w:ascii="Calibri" w:eastAsia="Calibri" w:hAnsi="Calibri" w:cs="Calibri"/>
        </w:rPr>
        <w:t>lectrónicos que ya no utilizan, con tan solo unos pocos clics a través de nuestra web seur.com, en un proceso muy sencillo para los usuarios. En este sentido, a través de su colaboración con Recommerce, SEUR tiene como objetivo contribuir a la protección d</w:t>
      </w:r>
      <w:r>
        <w:rPr>
          <w:rFonts w:ascii="Calibri" w:eastAsia="Calibri" w:hAnsi="Calibri" w:cs="Calibri"/>
        </w:rPr>
        <w:t>el medioambiente y reducir la huella de carbono, puesto que promueve la economía circular mediante la reutilización de dispositivos electrónicos de segunda mano.</w:t>
      </w:r>
    </w:p>
    <w:p w14:paraId="3695EB44" w14:textId="77777777" w:rsidR="007656FD" w:rsidRDefault="007656FD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306F5011" w14:textId="77777777" w:rsidR="007656FD" w:rsidRDefault="00632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Karen Thouret, responsable de E-commerce, Digital y Experiencia de Cliente de SEUR, señala qu</w:t>
      </w:r>
      <w:r>
        <w:rPr>
          <w:rFonts w:ascii="Calibri" w:eastAsia="Calibri" w:hAnsi="Calibri" w:cs="Calibri"/>
        </w:rPr>
        <w:t>e “el despliegue de este servicio se adapta a nuevos hábitos de los consumidores en España, sensibilizados con los retos sociales y ambientales, influenciados por productos más responsables y sostenibles. Los consumidores han cambiado sus preferencias toma</w:t>
      </w:r>
      <w:r>
        <w:rPr>
          <w:rFonts w:ascii="Calibri" w:eastAsia="Calibri" w:hAnsi="Calibri" w:cs="Calibri"/>
        </w:rPr>
        <w:t>ndo decisiones más conscientes. Economía circular y decisión de compra son dos conceptos que últimamente van muy ligados entre sí; por ello, SEUR quiere facilitar soluciones disruptivas que respondan al reto de la economía circular, al ofrecer una forma se</w:t>
      </w:r>
      <w:r>
        <w:rPr>
          <w:rFonts w:ascii="Calibri" w:eastAsia="Calibri" w:hAnsi="Calibri" w:cs="Calibri"/>
        </w:rPr>
        <w:t>ncilla para revender, en pocos clics, el móvil, la tablet y el ordenador”.</w:t>
      </w:r>
    </w:p>
    <w:p w14:paraId="395F7724" w14:textId="77777777" w:rsidR="007656FD" w:rsidRDefault="00765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</w:rPr>
      </w:pPr>
    </w:p>
    <w:p w14:paraId="4EEBD12A" w14:textId="2D2B8B52" w:rsidR="00DD5009" w:rsidRDefault="00DD5009" w:rsidP="00463CF8">
      <w:pPr>
        <w:jc w:val="both"/>
        <w:rPr>
          <w:rFonts w:ascii="Calibri" w:eastAsia="Calibri" w:hAnsi="Calibri" w:cs="Calibri"/>
        </w:rPr>
      </w:pPr>
      <w:r w:rsidRPr="00DD5009">
        <w:rPr>
          <w:rFonts w:ascii="Calibri" w:eastAsia="Calibri" w:hAnsi="Calibri" w:cs="Calibri"/>
        </w:rPr>
        <w:t xml:space="preserve">Solène Gueirard, Country Manager España Recommerce declara que </w:t>
      </w:r>
      <w:bookmarkStart w:id="0" w:name="_Hlk148599376"/>
      <w:r w:rsidRPr="00DD5009">
        <w:rPr>
          <w:rFonts w:ascii="Calibri" w:eastAsia="Calibri" w:hAnsi="Calibri" w:cs="Calibri"/>
        </w:rPr>
        <w:t>"</w:t>
      </w:r>
      <w:r w:rsidR="00D26BF5">
        <w:rPr>
          <w:rFonts w:ascii="Calibri" w:eastAsia="Calibri" w:hAnsi="Calibri" w:cs="Calibri"/>
        </w:rPr>
        <w:t>e</w:t>
      </w:r>
      <w:r w:rsidRPr="00DD5009">
        <w:rPr>
          <w:rFonts w:ascii="Calibri" w:eastAsia="Calibri" w:hAnsi="Calibri" w:cs="Calibri"/>
        </w:rPr>
        <w:t>l primer paso de la economía circular para dar una segunda vida a los equipos tecnológicos es recuperarlos de los consumidores a quienes no les sirve</w:t>
      </w:r>
      <w:r w:rsidR="00D26BF5">
        <w:rPr>
          <w:rFonts w:ascii="Calibri" w:eastAsia="Calibri" w:hAnsi="Calibri" w:cs="Calibri"/>
        </w:rPr>
        <w:t>n</w:t>
      </w:r>
      <w:r w:rsidRPr="00DD5009">
        <w:rPr>
          <w:rFonts w:ascii="Calibri" w:eastAsia="Calibri" w:hAnsi="Calibri" w:cs="Calibri"/>
        </w:rPr>
        <w:t xml:space="preserve"> más, a cambio del valor correspondiente. De hecho, según nuestro estudio de mercado realizado con Kantar, el 57% de los consumidores españoles afirma que conserva su antiguo terminal en caso de necesidad</w:t>
      </w:r>
      <w:r>
        <w:rPr>
          <w:rFonts w:ascii="Calibri" w:eastAsia="Calibri" w:hAnsi="Calibri" w:cs="Calibri"/>
        </w:rPr>
        <w:t>, lo que demuestra el gran potencial de tal oferta para su poder adquisitivo</w:t>
      </w:r>
      <w:r w:rsidR="00F10C98">
        <w:rPr>
          <w:rFonts w:ascii="Calibri" w:eastAsia="Calibri" w:hAnsi="Calibri" w:cs="Calibri"/>
        </w:rPr>
        <w:t xml:space="preserve"> y el medio ambiente.  </w:t>
      </w:r>
    </w:p>
    <w:bookmarkEnd w:id="0"/>
    <w:p w14:paraId="4B3015A3" w14:textId="77777777" w:rsidR="00DD5009" w:rsidRDefault="00DD5009" w:rsidP="00463CF8">
      <w:pPr>
        <w:jc w:val="both"/>
        <w:rPr>
          <w:rFonts w:ascii="Calibri" w:eastAsia="Calibri" w:hAnsi="Calibri" w:cs="Calibri"/>
        </w:rPr>
      </w:pPr>
    </w:p>
    <w:p w14:paraId="0A7A41B0" w14:textId="6A1E72EB" w:rsidR="00DD5009" w:rsidRPr="00DD5009" w:rsidRDefault="00DD5009" w:rsidP="00463CF8">
      <w:pPr>
        <w:jc w:val="both"/>
        <w:rPr>
          <w:rFonts w:ascii="Calibri" w:eastAsia="Calibri" w:hAnsi="Calibri" w:cs="Calibri"/>
        </w:rPr>
      </w:pPr>
      <w:r w:rsidRPr="00DD5009">
        <w:rPr>
          <w:rFonts w:ascii="Calibri" w:eastAsia="Calibri" w:hAnsi="Calibri" w:cs="Calibri"/>
        </w:rPr>
        <w:t xml:space="preserve">Gracias a este proyecto con SEUR, </w:t>
      </w:r>
      <w:r w:rsidR="0063220B">
        <w:rPr>
          <w:rFonts w:ascii="Calibri" w:eastAsia="Calibri" w:hAnsi="Calibri" w:cs="Calibri"/>
        </w:rPr>
        <w:t>empresa de transporte</w:t>
      </w:r>
      <w:r w:rsidRPr="00DD5009">
        <w:rPr>
          <w:rFonts w:ascii="Calibri" w:eastAsia="Calibri" w:hAnsi="Calibri" w:cs="Calibri"/>
        </w:rPr>
        <w:t xml:space="preserve"> con una fuerte presencia local, podemos acercarnos más a los consumidores españoles ofreciéndoles una solución de recompra sencilla y accesible gracias a los numerosos puntos de recogida de SEUR</w:t>
      </w:r>
      <w:r>
        <w:rPr>
          <w:rFonts w:ascii="Calibri" w:eastAsia="Calibri" w:hAnsi="Calibri" w:cs="Calibri"/>
        </w:rPr>
        <w:t>”</w:t>
      </w:r>
      <w:r w:rsidRPr="00DD5009">
        <w:rPr>
          <w:rFonts w:ascii="Calibri" w:eastAsia="Calibri" w:hAnsi="Calibri" w:cs="Calibri"/>
        </w:rPr>
        <w:t>.</w:t>
      </w:r>
    </w:p>
    <w:p w14:paraId="73055E5F" w14:textId="77777777" w:rsidR="007656FD" w:rsidRDefault="007656FD" w:rsidP="00463C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</w:rPr>
      </w:pPr>
    </w:p>
    <w:p w14:paraId="30025CB9" w14:textId="77777777" w:rsidR="007656FD" w:rsidRDefault="0063220B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Los e-shoppers habituales españoles compran más tecnología online y venden productos que no necesitan de forma más frecuente</w:t>
      </w:r>
    </w:p>
    <w:p w14:paraId="65ABE292" w14:textId="77777777" w:rsidR="007656FD" w:rsidRDefault="007656FD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14:paraId="0E1FF22E" w14:textId="77777777" w:rsidR="007656FD" w:rsidRDefault="0063220B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Según datos del último E-shopper barometer de Geopost, e</w:t>
      </w:r>
      <w:r>
        <w:rPr>
          <w:rFonts w:ascii="Calibri" w:eastAsia="Calibri" w:hAnsi="Calibri" w:cs="Calibri"/>
        </w:rPr>
        <w:t>l 35% de los usuarios españoles que compran por Internet apuestan por adquirir gadgets y productos tecnológicos online, 6 puntos por encima del anterior estudio. Estas cifras respaldan el lanzamiento de Buy Back, un servicio que responde a la creciente dem</w:t>
      </w:r>
      <w:r>
        <w:rPr>
          <w:rFonts w:ascii="Calibri" w:eastAsia="Calibri" w:hAnsi="Calibri" w:cs="Calibri"/>
        </w:rPr>
        <w:t>anda de este tipo de productos por parte de los consumidores. Asimismo, el estudio destaca que un 67% de los e-shoppers habituales venden productos en buenas condiciones, lo que también avala la conveniencia de soluciones de economía circular como Buy Back</w:t>
      </w:r>
      <w:r>
        <w:rPr>
          <w:rFonts w:ascii="Calibri" w:eastAsia="Calibri" w:hAnsi="Calibri" w:cs="Calibri"/>
        </w:rPr>
        <w:t>.</w:t>
      </w:r>
    </w:p>
    <w:p w14:paraId="7A9A7AD7" w14:textId="77777777" w:rsidR="007656FD" w:rsidRDefault="007656FD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136789C9" w14:textId="77777777" w:rsidR="007656FD" w:rsidRDefault="007656FD">
      <w:pPr>
        <w:pBdr>
          <w:top w:val="single" w:sz="4" w:space="1" w:color="000000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14:paraId="061DAB48" w14:textId="77777777" w:rsidR="007656FD" w:rsidRDefault="0063220B">
      <w:pPr>
        <w:pBdr>
          <w:top w:val="single" w:sz="4" w:space="1" w:color="000000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 xml:space="preserve">Acerca de SEUR </w:t>
      </w:r>
    </w:p>
    <w:p w14:paraId="3B4092AB" w14:textId="77777777" w:rsidR="007656FD" w:rsidRDefault="0063220B">
      <w:pPr>
        <w:pBdr>
          <w:top w:val="single" w:sz="4" w:space="1" w:color="000000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Nuestros más de 80 años de historia nos han permitido ser pioneros en el transporte urgente en España, con tres grandes ejes de negocio: internacional, comercio electrónico y negocio B2B.</w:t>
      </w:r>
    </w:p>
    <w:p w14:paraId="374775B9" w14:textId="77777777" w:rsidR="007656FD" w:rsidRDefault="006322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Gracias a nuestros más de 10.000 profesionales y a nuestra flota de 6.500 vehículos, damos servicio a empresas de todos los tamaños y sectores y, como parte de Geopost, una de las mayores redes internacionales de transporte urgente, realizamos entregas en </w:t>
      </w:r>
      <w:r>
        <w:rPr>
          <w:rFonts w:ascii="Arial" w:eastAsia="Arial" w:hAnsi="Arial" w:cs="Arial"/>
          <w:color w:val="000000"/>
          <w:sz w:val="16"/>
          <w:szCs w:val="16"/>
        </w:rPr>
        <w:t>todo el mundo.</w:t>
      </w:r>
    </w:p>
    <w:p w14:paraId="4B7C1E9C" w14:textId="77777777" w:rsidR="007656FD" w:rsidRDefault="007656FD"/>
    <w:p w14:paraId="73AF2FCB" w14:textId="77777777" w:rsidR="007656FD" w:rsidRDefault="006322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Invertimos constantemente en innovación e infraestructuras para estar más cerca de nuestros clientes y ofrecerles mayor flexibilidad a través de soluciones como Predict, sistema interactivo para concertar la entrega, o SEUR Now, para las en</w:t>
      </w:r>
      <w:r>
        <w:rPr>
          <w:rFonts w:ascii="Arial" w:eastAsia="Arial" w:hAnsi="Arial" w:cs="Arial"/>
          <w:color w:val="000000"/>
          <w:sz w:val="16"/>
          <w:szCs w:val="16"/>
        </w:rPr>
        <w:t>tregas superurgentes en una o dos horas. Apostamos por la logística sostenible con la integración de sistemas de reparto alternativos en grandes ciudades como el uso de vehículos ecológicos, hubs urbanos o nuestra red de puntos Pickup con más de 4.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color w:val="000000"/>
          <w:sz w:val="16"/>
          <w:szCs w:val="16"/>
        </w:rPr>
        <w:t>00 punt</w:t>
      </w:r>
      <w:r>
        <w:rPr>
          <w:rFonts w:ascii="Arial" w:eastAsia="Arial" w:hAnsi="Arial" w:cs="Arial"/>
          <w:color w:val="000000"/>
          <w:sz w:val="16"/>
          <w:szCs w:val="16"/>
        </w:rPr>
        <w:t>os, entre tiendas de conveniencia y lockers.</w:t>
      </w:r>
    </w:p>
    <w:p w14:paraId="22C978E2" w14:textId="77777777" w:rsidR="007656FD" w:rsidRDefault="007656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14:paraId="262F2C94" w14:textId="77777777" w:rsidR="007656FD" w:rsidRDefault="006322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Acerca de Recommerce</w:t>
      </w:r>
    </w:p>
    <w:p w14:paraId="7ACDDF43" w14:textId="77777777" w:rsidR="007656FD" w:rsidRDefault="007656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p w14:paraId="6ABF6CDB" w14:textId="77777777" w:rsidR="00DD5009" w:rsidRDefault="00DD5009" w:rsidP="00DD5009">
      <w:pPr>
        <w:rPr>
          <w:rFonts w:ascii="Arial" w:eastAsia="Arial" w:hAnsi="Arial" w:cs="Arial"/>
          <w:color w:val="000000"/>
          <w:sz w:val="16"/>
          <w:szCs w:val="16"/>
        </w:rPr>
      </w:pPr>
      <w:r w:rsidRPr="00DD5009">
        <w:rPr>
          <w:rFonts w:ascii="Arial" w:eastAsia="Arial" w:hAnsi="Arial" w:cs="Arial"/>
          <w:color w:val="000000"/>
          <w:sz w:val="16"/>
          <w:szCs w:val="16"/>
        </w:rPr>
        <w:t>RECOMMERCE GROUP es el pionero europeo del reacondicionamiento de productos de alta tecnología, en particular smartphones. Fundada en 2009, Recommerce compra equipos usados, ofrece soluciones de recompra para particulares y empresas, reacondiciona y revende equipos reacondicionados.</w:t>
      </w:r>
    </w:p>
    <w:p w14:paraId="7A05DB3F" w14:textId="77777777" w:rsidR="00DD5009" w:rsidRDefault="00DD5009" w:rsidP="00DD5009">
      <w:pPr>
        <w:rPr>
          <w:rFonts w:ascii="Arial" w:eastAsia="Arial" w:hAnsi="Arial" w:cs="Arial"/>
          <w:color w:val="000000"/>
          <w:sz w:val="16"/>
          <w:szCs w:val="16"/>
        </w:rPr>
      </w:pPr>
      <w:r w:rsidRPr="00DD5009">
        <w:rPr>
          <w:rFonts w:ascii="Arial" w:eastAsia="Arial" w:hAnsi="Arial" w:cs="Arial"/>
          <w:color w:val="000000"/>
          <w:sz w:val="16"/>
          <w:szCs w:val="16"/>
        </w:rPr>
        <w:br/>
        <w:t>La empresa distribuye sus productos reacondicionados bajo la marca registrada "Recommerce©" en muchos países europeos online y a través de distribuidores y operadores de telecomunicaciones. Dentro de la lógica de la economía circular y sostenible, la empresa promueve la recompra y reutilización de equipos mediante la implantación de tecnologías de inteligencia artificial aplicadas al sector industrial.</w:t>
      </w:r>
    </w:p>
    <w:p w14:paraId="267D33AE" w14:textId="4CBFED77" w:rsidR="007656FD" w:rsidRPr="00DD5009" w:rsidRDefault="00DD5009" w:rsidP="00DD5009">
      <w:pPr>
        <w:rPr>
          <w:rFonts w:ascii="Arial" w:eastAsia="Arial" w:hAnsi="Arial" w:cs="Arial"/>
          <w:color w:val="000000"/>
          <w:sz w:val="16"/>
          <w:szCs w:val="16"/>
        </w:rPr>
      </w:pPr>
      <w:r w:rsidRPr="00DD5009">
        <w:rPr>
          <w:rFonts w:ascii="Arial" w:eastAsia="Arial" w:hAnsi="Arial" w:cs="Arial"/>
          <w:color w:val="000000"/>
          <w:sz w:val="16"/>
          <w:szCs w:val="16"/>
        </w:rPr>
        <w:br/>
        <w:t>Recommerce está certificada ISO 14001, ISO 9001 e ISO 27001 por DNV, ha obtenido el label RecQ - Quality Refurbishment -, primer label europeo que certifica la calidad del producto final por DEKRA Certifications, así como la certificación Gold por Ecovadis por su política de RSC.</w:t>
      </w:r>
      <w:r w:rsidRPr="00DD5009">
        <w:rPr>
          <w:rFonts w:ascii="Arial" w:eastAsia="Arial" w:hAnsi="Arial" w:cs="Arial"/>
          <w:color w:val="000000"/>
          <w:sz w:val="16"/>
          <w:szCs w:val="16"/>
        </w:rPr>
        <w:br/>
        <w:t xml:space="preserve">Más información en : </w:t>
      </w:r>
      <w:hyperlink r:id="rId8" w:tgtFrame="_blank" w:history="1">
        <w:r w:rsidRPr="00DD5009">
          <w:rPr>
            <w:rFonts w:ascii="Arial" w:eastAsia="Arial" w:hAnsi="Arial" w:cs="Arial"/>
            <w:color w:val="000000"/>
            <w:sz w:val="16"/>
            <w:szCs w:val="16"/>
          </w:rPr>
          <w:t>http://www.recommerce-group.com</w:t>
        </w:r>
      </w:hyperlink>
    </w:p>
    <w:p w14:paraId="2C345328" w14:textId="77777777" w:rsidR="007656FD" w:rsidRDefault="0063220B">
      <w:pPr>
        <w:spacing w:before="240"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Para más información:</w:t>
      </w:r>
    </w:p>
    <w:p w14:paraId="6E67012B" w14:textId="77777777" w:rsidR="007656FD" w:rsidRDefault="0063220B">
      <w:pPr>
        <w:spacing w:before="240" w:line="36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https://www.facebook.com/FundacionSEUR</w:t>
      </w:r>
    </w:p>
    <w:p w14:paraId="00A4AE15" w14:textId="77777777" w:rsidR="007656FD" w:rsidRDefault="0063220B">
      <w:pPr>
        <w:spacing w:before="240" w:line="360" w:lineRule="auto"/>
        <w:jc w:val="both"/>
        <w:rPr>
          <w:rFonts w:ascii="Arial" w:eastAsia="Arial" w:hAnsi="Arial" w:cs="Arial"/>
          <w:b/>
          <w:color w:val="1155CC"/>
          <w:sz w:val="16"/>
          <w:szCs w:val="16"/>
          <w:u w:val="single"/>
        </w:rPr>
      </w:pPr>
      <w:hyperlink r:id="rId9" w:anchor="!/SEUR">
        <w:r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https://twitter.com/SEUR</w:t>
        </w:r>
      </w:hyperlink>
    </w:p>
    <w:p w14:paraId="48B71EFD" w14:textId="77777777" w:rsidR="007656FD" w:rsidRDefault="0063220B">
      <w:pPr>
        <w:spacing w:before="240" w:line="360" w:lineRule="auto"/>
        <w:jc w:val="both"/>
        <w:rPr>
          <w:rFonts w:ascii="Arial" w:eastAsia="Arial" w:hAnsi="Arial" w:cs="Arial"/>
          <w:b/>
          <w:color w:val="1155CC"/>
          <w:sz w:val="16"/>
          <w:szCs w:val="16"/>
          <w:u w:val="single"/>
        </w:rPr>
      </w:pPr>
      <w:hyperlink r:id="rId10">
        <w:r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http://www.linkedin.com/company/SEUR</w:t>
        </w:r>
      </w:hyperlink>
    </w:p>
    <w:p w14:paraId="342CB511" w14:textId="77777777" w:rsidR="007656FD" w:rsidRDefault="0063220B">
      <w:pPr>
        <w:spacing w:before="24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hyperlink r:id="rId11">
        <w:r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https://www.instagram.com/seur.es/</w:t>
        </w:r>
      </w:hyperlink>
    </w:p>
    <w:p w14:paraId="322B145C" w14:textId="77777777" w:rsidR="007656FD" w:rsidRDefault="007656FD">
      <w:pPr>
        <w:spacing w:before="24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39B8D654" w14:textId="77777777" w:rsidR="007656FD" w:rsidRDefault="0063220B">
      <w:pPr>
        <w:spacing w:before="24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Gabinete de prensa / Agencia de comunicación SEUR</w:t>
      </w:r>
    </w:p>
    <w:tbl>
      <w:tblPr>
        <w:tblStyle w:val="a9"/>
        <w:tblW w:w="8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245"/>
      </w:tblGrid>
      <w:tr w:rsidR="007656FD" w14:paraId="3451899B" w14:textId="77777777">
        <w:trPr>
          <w:trHeight w:val="3345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243E" w14:textId="77777777" w:rsidR="007656FD" w:rsidRDefault="0063220B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Eugenia Llorca/ Beatriz Molero / Belén Juliá</w:t>
            </w:r>
          </w:p>
          <w:p w14:paraId="2A921C31" w14:textId="77777777" w:rsidR="007656FD" w:rsidRDefault="0063220B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SEUR</w:t>
            </w:r>
          </w:p>
          <w:p w14:paraId="42504A16" w14:textId="77777777" w:rsidR="007656FD" w:rsidRDefault="0063220B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692 12 65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62/ 658 76 86 79</w:t>
            </w:r>
          </w:p>
          <w:p w14:paraId="1D370702" w14:textId="77777777" w:rsidR="007656FD" w:rsidRDefault="007656FD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4A979" w14:textId="77777777" w:rsidR="007656FD" w:rsidRDefault="0063220B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Elena Barrera / Rubén Santiago/ Virginia Sánchez</w:t>
            </w:r>
          </w:p>
          <w:p w14:paraId="2AB66751" w14:textId="77777777" w:rsidR="007656FD" w:rsidRPr="00DD5009" w:rsidRDefault="0063220B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n-IE"/>
              </w:rPr>
            </w:pPr>
            <w:r w:rsidRPr="00DD5009">
              <w:rPr>
                <w:rFonts w:ascii="Arial" w:eastAsia="Arial" w:hAnsi="Arial" w:cs="Arial"/>
                <w:b/>
                <w:sz w:val="16"/>
                <w:szCs w:val="16"/>
                <w:lang w:val="en-IE"/>
              </w:rPr>
              <w:t>TINKLE</w:t>
            </w:r>
          </w:p>
          <w:p w14:paraId="32A65888" w14:textId="77777777" w:rsidR="007656FD" w:rsidRPr="00DD5009" w:rsidRDefault="0063220B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n-IE"/>
              </w:rPr>
            </w:pPr>
            <w:r w:rsidRPr="00DD5009">
              <w:rPr>
                <w:rFonts w:ascii="Arial" w:eastAsia="Arial" w:hAnsi="Arial" w:cs="Arial"/>
                <w:b/>
                <w:sz w:val="16"/>
                <w:szCs w:val="16"/>
                <w:lang w:val="en-IE"/>
              </w:rPr>
              <w:t xml:space="preserve">91 702 10 10 </w:t>
            </w:r>
          </w:p>
          <w:p w14:paraId="329F2589" w14:textId="77777777" w:rsidR="007656FD" w:rsidRPr="00DD5009" w:rsidRDefault="0063220B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lang w:val="en-IE"/>
              </w:rPr>
            </w:pPr>
            <w:hyperlink r:id="rId12">
              <w:r w:rsidRPr="00DD5009">
                <w:rPr>
                  <w:rFonts w:ascii="Arial" w:eastAsia="Arial" w:hAnsi="Arial" w:cs="Arial"/>
                  <w:b/>
                  <w:color w:val="0563C1"/>
                  <w:sz w:val="16"/>
                  <w:szCs w:val="16"/>
                  <w:u w:val="single"/>
                  <w:lang w:val="en-IE"/>
                </w:rPr>
                <w:t>ebarrera@tinkle.es</w:t>
              </w:r>
            </w:hyperlink>
          </w:p>
          <w:p w14:paraId="1E6FC13A" w14:textId="77777777" w:rsidR="007656FD" w:rsidRPr="00DD5009" w:rsidRDefault="0063220B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lang w:val="en-IE"/>
              </w:rPr>
            </w:pPr>
            <w:r w:rsidRPr="00DD5009">
              <w:rPr>
                <w:rFonts w:ascii="Arial" w:eastAsia="Arial" w:hAnsi="Arial" w:cs="Arial"/>
                <w:b/>
                <w:color w:val="0563C1"/>
                <w:sz w:val="16"/>
                <w:szCs w:val="16"/>
                <w:lang w:val="en-IE"/>
              </w:rPr>
              <w:t>rsantiago@tinkle.es</w:t>
            </w:r>
          </w:p>
          <w:p w14:paraId="40549A59" w14:textId="77777777" w:rsidR="007656FD" w:rsidRDefault="0063220B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  <w:t>vsanchez@tinkle.es</w:t>
            </w:r>
          </w:p>
          <w:p w14:paraId="08B21EBA" w14:textId="77777777" w:rsidR="007656FD" w:rsidRDefault="007656FD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</w:pPr>
          </w:p>
        </w:tc>
      </w:tr>
    </w:tbl>
    <w:p w14:paraId="3718D673" w14:textId="77777777" w:rsidR="007656FD" w:rsidRDefault="007656FD">
      <w:pPr>
        <w:pBdr>
          <w:top w:val="single" w:sz="4" w:space="1" w:color="000000"/>
        </w:pBdr>
        <w:spacing w:after="200" w:line="360" w:lineRule="auto"/>
        <w:ind w:right="-285"/>
        <w:jc w:val="both"/>
        <w:rPr>
          <w:rFonts w:ascii="Arial" w:eastAsia="Arial" w:hAnsi="Arial" w:cs="Arial"/>
          <w:sz w:val="16"/>
          <w:szCs w:val="16"/>
        </w:rPr>
      </w:pPr>
    </w:p>
    <w:p w14:paraId="4EE7DD22" w14:textId="77777777" w:rsidR="007656FD" w:rsidRDefault="007656FD">
      <w:pPr>
        <w:jc w:val="both"/>
        <w:rPr>
          <w:rFonts w:ascii="Arial" w:eastAsia="Arial" w:hAnsi="Arial" w:cs="Arial"/>
          <w:sz w:val="20"/>
          <w:szCs w:val="20"/>
        </w:rPr>
      </w:pPr>
    </w:p>
    <w:sectPr w:rsidR="007656FD">
      <w:head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129C" w14:textId="77777777" w:rsidR="004A06EF" w:rsidRDefault="004A06EF">
      <w:r>
        <w:separator/>
      </w:r>
    </w:p>
  </w:endnote>
  <w:endnote w:type="continuationSeparator" w:id="0">
    <w:p w14:paraId="586D3211" w14:textId="77777777" w:rsidR="004A06EF" w:rsidRDefault="004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4672" w14:textId="77777777" w:rsidR="004A06EF" w:rsidRDefault="004A06EF">
      <w:r>
        <w:separator/>
      </w:r>
    </w:p>
  </w:footnote>
  <w:footnote w:type="continuationSeparator" w:id="0">
    <w:p w14:paraId="4DB94492" w14:textId="77777777" w:rsidR="004A06EF" w:rsidRDefault="004A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97F1" w14:textId="77777777" w:rsidR="007656FD" w:rsidRDefault="0063220B">
    <w:pPr>
      <w:tabs>
        <w:tab w:val="center" w:pos="4252"/>
        <w:tab w:val="right" w:pos="8504"/>
      </w:tabs>
      <w:rPr>
        <w:color w:val="000000"/>
      </w:rPr>
    </w:pPr>
    <w:r>
      <w:t xml:space="preserve">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4788137" wp14:editId="0E01D773">
          <wp:simplePos x="0" y="0"/>
          <wp:positionH relativeFrom="column">
            <wp:posOffset>8</wp:posOffset>
          </wp:positionH>
          <wp:positionV relativeFrom="paragraph">
            <wp:posOffset>-628</wp:posOffset>
          </wp:positionV>
          <wp:extent cx="1209675" cy="291465"/>
          <wp:effectExtent l="0" t="0" r="0" b="0"/>
          <wp:wrapNone/>
          <wp:docPr id="20" name="image2.jpg" descr="Imagen que contiene Gráfic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Gráfico&#10;&#10;Descripción generada automáticamente"/>
                  <pic:cNvPicPr preferRelativeResize="0"/>
                </pic:nvPicPr>
                <pic:blipFill>
                  <a:blip r:embed="rId1"/>
                  <a:srcRect t="23153" b="43674"/>
                  <a:stretch>
                    <a:fillRect/>
                  </a:stretch>
                </pic:blipFill>
                <pic:spPr>
                  <a:xfrm>
                    <a:off x="0" y="0"/>
                    <a:ext cx="1209675" cy="291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7B320A7" wp14:editId="2DF8AA9E">
          <wp:simplePos x="0" y="0"/>
          <wp:positionH relativeFrom="column">
            <wp:posOffset>4643755</wp:posOffset>
          </wp:positionH>
          <wp:positionV relativeFrom="paragraph">
            <wp:posOffset>-87623</wp:posOffset>
          </wp:positionV>
          <wp:extent cx="756285" cy="419100"/>
          <wp:effectExtent l="0" t="0" r="0" b="0"/>
          <wp:wrapSquare wrapText="bothSides" distT="114300" distB="114300" distL="114300" distR="114300"/>
          <wp:docPr id="21" name="image1.png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que contiene Interfaz de usuario gráfica&#10;&#10;Descripción generada automáticamente"/>
                  <pic:cNvPicPr preferRelativeResize="0"/>
                </pic:nvPicPr>
                <pic:blipFill>
                  <a:blip r:embed="rId2"/>
                  <a:srcRect l="48441"/>
                  <a:stretch>
                    <a:fillRect/>
                  </a:stretch>
                </pic:blipFill>
                <pic:spPr>
                  <a:xfrm>
                    <a:off x="0" y="0"/>
                    <a:ext cx="75628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DBE4F" w14:textId="77777777" w:rsidR="007656FD" w:rsidRDefault="00765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170"/>
    <w:multiLevelType w:val="multilevel"/>
    <w:tmpl w:val="9DD0C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621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FD"/>
    <w:rsid w:val="00463CF8"/>
    <w:rsid w:val="004A06EF"/>
    <w:rsid w:val="00562651"/>
    <w:rsid w:val="0063220B"/>
    <w:rsid w:val="007656FD"/>
    <w:rsid w:val="00A656CC"/>
    <w:rsid w:val="00D26BF5"/>
    <w:rsid w:val="00DD5009"/>
    <w:rsid w:val="00F1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C35E"/>
  <w15:docId w15:val="{A317B7C4-1652-4925-9333-65E6C224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9A19B0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2D1C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D1CD8"/>
    <w:rPr>
      <w:sz w:val="24"/>
      <w:szCs w:val="24"/>
    </w:rPr>
  </w:style>
  <w:style w:type="paragraph" w:styleId="Piedepgina">
    <w:name w:val="footer"/>
    <w:basedOn w:val="Normal"/>
    <w:link w:val="PiedepginaCar"/>
    <w:rsid w:val="002D1C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D1CD8"/>
    <w:rPr>
      <w:sz w:val="24"/>
      <w:szCs w:val="24"/>
    </w:rPr>
  </w:style>
  <w:style w:type="character" w:styleId="Refdecomentario">
    <w:name w:val="annotation reference"/>
    <w:basedOn w:val="Fuentedeprrafopredeter"/>
    <w:rsid w:val="004F0C5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0C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F0C57"/>
  </w:style>
  <w:style w:type="paragraph" w:styleId="Asuntodelcomentario">
    <w:name w:val="annotation subject"/>
    <w:basedOn w:val="Textocomentario"/>
    <w:next w:val="Textocomentario"/>
    <w:link w:val="AsuntodelcomentarioCar"/>
    <w:rsid w:val="004F0C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F0C57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1454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547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0034B"/>
    <w:pPr>
      <w:ind w:left="720"/>
      <w:contextualSpacing/>
    </w:pPr>
  </w:style>
  <w:style w:type="table" w:customStyle="1" w:styleId="a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ennegrita">
    <w:name w:val="Strong"/>
    <w:basedOn w:val="Fuentedeprrafopredeter"/>
    <w:uiPriority w:val="22"/>
    <w:qFormat/>
    <w:rsid w:val="00F76A56"/>
    <w:rPr>
      <w:b/>
      <w:bCs/>
    </w:rPr>
  </w:style>
  <w:style w:type="character" w:styleId="nfasis">
    <w:name w:val="Emphasis"/>
    <w:basedOn w:val="Fuentedeprrafopredeter"/>
    <w:uiPriority w:val="20"/>
    <w:qFormat/>
    <w:rsid w:val="00F76A56"/>
    <w:rPr>
      <w:i/>
      <w:iCs/>
    </w:rPr>
  </w:style>
  <w:style w:type="table" w:customStyle="1" w:styleId="a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015442"/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">
    <w:name w:val="paragraph"/>
    <w:basedOn w:val="Normal"/>
    <w:rsid w:val="00DB76CE"/>
    <w:pPr>
      <w:spacing w:before="100" w:beforeAutospacing="1" w:after="100" w:afterAutospacing="1"/>
    </w:pPr>
    <w:rPr>
      <w:lang w:val="fr-FR"/>
    </w:rPr>
  </w:style>
  <w:style w:type="table" w:styleId="Tablaconcuadrcula">
    <w:name w:val="Table Grid"/>
    <w:basedOn w:val="Tablanormal"/>
    <w:uiPriority w:val="39"/>
    <w:rsid w:val="00DB76CE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DB76CE"/>
  </w:style>
  <w:style w:type="paragraph" w:styleId="Textonotapie">
    <w:name w:val="footnote text"/>
    <w:basedOn w:val="Normal"/>
    <w:link w:val="TextonotapieCar"/>
    <w:uiPriority w:val="99"/>
    <w:semiHidden/>
    <w:unhideWhenUsed/>
    <w:rsid w:val="00B6394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39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3940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9781D"/>
    <w:rPr>
      <w:color w:val="954F72" w:themeColor="followedHyperlink"/>
      <w:u w:val="single"/>
    </w:r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ommerce-grou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barrera@tinkle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eur.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kedin.com/company/SE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bLFX44oZ4rwxNDV1bioq9RvjNg==">CgMxLjA4AHIhMU1hR2tNUUY1ZVVjQTduaGdHRzRoM19tdEtZMW1fTm5B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972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Barrera, Elena (Tinkle)</cp:lastModifiedBy>
  <cp:revision>6</cp:revision>
  <dcterms:created xsi:type="dcterms:W3CDTF">2023-10-19T07:17:00Z</dcterms:created>
  <dcterms:modified xsi:type="dcterms:W3CDTF">2023-10-19T07:56:00Z</dcterms:modified>
</cp:coreProperties>
</file>