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7AF3" w14:textId="77777777" w:rsidR="00BB5383" w:rsidRDefault="00BB5383">
      <w:pPr>
        <w:rPr>
          <w:sz w:val="20"/>
          <w:szCs w:val="20"/>
        </w:rPr>
      </w:pPr>
    </w:p>
    <w:p w14:paraId="618F90F2" w14:textId="77777777" w:rsidR="00BB5383" w:rsidRDefault="00BB5383">
      <w:pPr>
        <w:rPr>
          <w:sz w:val="20"/>
          <w:szCs w:val="20"/>
        </w:rPr>
      </w:pPr>
    </w:p>
    <w:p w14:paraId="5BB88E7F" w14:textId="7CC98C29" w:rsidR="00BB5383" w:rsidRDefault="000534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SEUR se integra en ASCOM reforzando su compromiso con prácticas de gobernanza empresarial</w:t>
      </w:r>
    </w:p>
    <w:p w14:paraId="523F7E45" w14:textId="77777777" w:rsidR="00BB5383" w:rsidRDefault="00BB5383">
      <w:pPr>
        <w:rPr>
          <w:color w:val="000000"/>
        </w:rPr>
      </w:pPr>
    </w:p>
    <w:p w14:paraId="68DBF8A0" w14:textId="77777777" w:rsidR="00BB5383" w:rsidRDefault="00BB5383">
      <w:pPr>
        <w:rPr>
          <w:color w:val="000000"/>
        </w:rPr>
      </w:pPr>
    </w:p>
    <w:p w14:paraId="59DE10FA" w14:textId="6D168710" w:rsidR="00BB5383" w:rsidRDefault="000534C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Esta integración se alinea con </w:t>
      </w:r>
      <w:r>
        <w:t>los valores de la compañía</w:t>
      </w:r>
      <w:r>
        <w:rPr>
          <w:color w:val="000000"/>
        </w:rPr>
        <w:t xml:space="preserve"> </w:t>
      </w:r>
      <w:r w:rsidR="00724694">
        <w:rPr>
          <w:color w:val="000000"/>
        </w:rPr>
        <w:t>de fomento</w:t>
      </w:r>
      <w:r w:rsidR="003824EB">
        <w:rPr>
          <w:color w:val="000000"/>
        </w:rPr>
        <w:t xml:space="preserve"> </w:t>
      </w:r>
      <w:r>
        <w:rPr>
          <w:color w:val="000000"/>
        </w:rPr>
        <w:t xml:space="preserve">de la ética y el cumplimiento </w:t>
      </w:r>
      <w:r w:rsidR="00724694">
        <w:rPr>
          <w:color w:val="000000"/>
        </w:rPr>
        <w:t xml:space="preserve">de </w:t>
      </w:r>
      <w:r w:rsidR="00B660B9">
        <w:rPr>
          <w:color w:val="000000"/>
        </w:rPr>
        <w:t xml:space="preserve">los </w:t>
      </w:r>
      <w:r w:rsidR="00724694" w:rsidRPr="00724694">
        <w:rPr>
          <w:color w:val="000000"/>
        </w:rPr>
        <w:t xml:space="preserve">principios de conducta </w:t>
      </w:r>
      <w:r w:rsidR="00724694">
        <w:rPr>
          <w:color w:val="000000"/>
        </w:rPr>
        <w:t>corporativa</w:t>
      </w:r>
    </w:p>
    <w:p w14:paraId="373E3484" w14:textId="77777777" w:rsidR="00BB5383" w:rsidRDefault="00BB5383">
      <w:pPr>
        <w:jc w:val="both"/>
        <w:rPr>
          <w:b/>
          <w:color w:val="000000"/>
        </w:rPr>
      </w:pPr>
    </w:p>
    <w:p w14:paraId="687182CB" w14:textId="0F031CE6" w:rsidR="00BB5383" w:rsidRDefault="000534CB">
      <w:pPr>
        <w:jc w:val="both"/>
        <w:rPr>
          <w:color w:val="000000"/>
        </w:rPr>
      </w:pPr>
      <w:r>
        <w:rPr>
          <w:b/>
          <w:color w:val="000000"/>
        </w:rPr>
        <w:t xml:space="preserve">Madrid </w:t>
      </w:r>
      <w:r w:rsidR="00F81970">
        <w:rPr>
          <w:b/>
          <w:color w:val="000000"/>
        </w:rPr>
        <w:t>26</w:t>
      </w:r>
      <w:r>
        <w:rPr>
          <w:b/>
          <w:color w:val="000000"/>
        </w:rPr>
        <w:t xml:space="preserve"> de </w:t>
      </w:r>
      <w:r w:rsidR="00724694">
        <w:rPr>
          <w:b/>
          <w:color w:val="000000"/>
        </w:rPr>
        <w:t xml:space="preserve">julio </w:t>
      </w:r>
      <w:r>
        <w:rPr>
          <w:b/>
          <w:color w:val="000000"/>
        </w:rPr>
        <w:t>de 2022.</w:t>
      </w:r>
      <w:r>
        <w:rPr>
          <w:color w:val="000000"/>
        </w:rPr>
        <w:t xml:space="preserve"> SEUR se convierte en un nuevo socio de </w:t>
      </w:r>
      <w:hyperlink r:id="rId8" w:history="1">
        <w:r w:rsidRPr="009B6FE0">
          <w:rPr>
            <w:rStyle w:val="Hipervnculo"/>
          </w:rPr>
          <w:t>ASCOM</w:t>
        </w:r>
      </w:hyperlink>
      <w:r>
        <w:rPr>
          <w:color w:val="000000"/>
        </w:rPr>
        <w:t xml:space="preserve">, la Asociación Española de Compliance, </w:t>
      </w:r>
      <w:r>
        <w:t xml:space="preserve">una de las principales asociaciones </w:t>
      </w:r>
      <w:r>
        <w:rPr>
          <w:color w:val="000000"/>
        </w:rPr>
        <w:t>de estas características en España</w:t>
      </w:r>
      <w:r w:rsidR="00724694">
        <w:rPr>
          <w:color w:val="000000"/>
        </w:rPr>
        <w:t xml:space="preserve"> </w:t>
      </w:r>
      <w:r w:rsidR="00724694" w:rsidRPr="00724694">
        <w:rPr>
          <w:color w:val="000000"/>
        </w:rPr>
        <w:t>y que cuenta con múltiples socios de renombre</w:t>
      </w:r>
      <w:r>
        <w:rPr>
          <w:color w:val="000000"/>
        </w:rPr>
        <w:t>. Esta alianza refuerza</w:t>
      </w:r>
      <w:r w:rsidR="00F1609C">
        <w:rPr>
          <w:color w:val="000000"/>
        </w:rPr>
        <w:t xml:space="preserve"> así</w:t>
      </w:r>
      <w:r>
        <w:rPr>
          <w:color w:val="000000"/>
        </w:rPr>
        <w:t xml:space="preserve"> el compromiso público de SEUR en lo relativo a buen gobierno y cumplimiento, </w:t>
      </w:r>
      <w:r w:rsidR="00F1609C">
        <w:rPr>
          <w:color w:val="000000"/>
        </w:rPr>
        <w:t xml:space="preserve">los cuales también son </w:t>
      </w:r>
      <w:r>
        <w:rPr>
          <w:color w:val="000000"/>
        </w:rPr>
        <w:t>pilares estratégicos de la compañía</w:t>
      </w:r>
      <w:r w:rsidR="00F1609C">
        <w:rPr>
          <w:color w:val="000000"/>
        </w:rPr>
        <w:t>.</w:t>
      </w:r>
    </w:p>
    <w:p w14:paraId="65B39397" w14:textId="77777777" w:rsidR="00BB5383" w:rsidRDefault="00BB5383">
      <w:pPr>
        <w:jc w:val="both"/>
        <w:rPr>
          <w:color w:val="000000"/>
        </w:rPr>
      </w:pPr>
    </w:p>
    <w:p w14:paraId="3531ECA3" w14:textId="1256832F" w:rsidR="00BB5383" w:rsidRDefault="000534CB">
      <w:pPr>
        <w:jc w:val="both"/>
        <w:rPr>
          <w:color w:val="000000"/>
        </w:rPr>
      </w:pPr>
      <w:r>
        <w:rPr>
          <w:color w:val="000000"/>
        </w:rPr>
        <w:t xml:space="preserve">Esta colaboración </w:t>
      </w:r>
      <w:r w:rsidR="00F1609C">
        <w:rPr>
          <w:color w:val="000000"/>
        </w:rPr>
        <w:t>permitirá a</w:t>
      </w:r>
      <w:r>
        <w:rPr>
          <w:color w:val="000000"/>
        </w:rPr>
        <w:t xml:space="preserve"> SEUR </w:t>
      </w:r>
      <w:r w:rsidR="00F1609C">
        <w:rPr>
          <w:color w:val="000000"/>
        </w:rPr>
        <w:t>involucrar</w:t>
      </w:r>
      <w:r w:rsidR="00B660B9">
        <w:rPr>
          <w:color w:val="000000"/>
        </w:rPr>
        <w:t xml:space="preserve"> a</w:t>
      </w:r>
      <w:r>
        <w:rPr>
          <w:color w:val="000000"/>
        </w:rPr>
        <w:t xml:space="preserve"> ASCOM como un </w:t>
      </w:r>
      <w:r>
        <w:t>actor</w:t>
      </w:r>
      <w:r>
        <w:rPr>
          <w:color w:val="000000"/>
        </w:rPr>
        <w:t xml:space="preserve"> </w:t>
      </w:r>
      <w:r w:rsidR="00F1609C">
        <w:rPr>
          <w:color w:val="000000"/>
        </w:rPr>
        <w:t xml:space="preserve">adicional </w:t>
      </w:r>
      <w:r>
        <w:rPr>
          <w:color w:val="000000"/>
        </w:rPr>
        <w:t>de su programa de cumplimiento</w:t>
      </w:r>
      <w:r w:rsidR="003824EB">
        <w:t xml:space="preserve"> </w:t>
      </w:r>
      <w:r w:rsidR="00B660B9">
        <w:t>y</w:t>
      </w:r>
      <w:r>
        <w:t xml:space="preserve"> </w:t>
      </w:r>
      <w:r w:rsidR="00B660B9" w:rsidRPr="00B660B9">
        <w:rPr>
          <w:color w:val="000000"/>
        </w:rPr>
        <w:t>como elemento clave para promover la mejora continua a través de los recursos de formación de ASCOM</w:t>
      </w:r>
      <w:r>
        <w:t xml:space="preserve">. </w:t>
      </w:r>
      <w:r w:rsidR="00B660B9">
        <w:t>Con</w:t>
      </w:r>
      <w:r>
        <w:t xml:space="preserve"> esta alianza se </w:t>
      </w:r>
      <w:r>
        <w:rPr>
          <w:color w:val="000000"/>
        </w:rPr>
        <w:t>potencia</w:t>
      </w:r>
      <w:r>
        <w:t>rá</w:t>
      </w:r>
      <w:r>
        <w:rPr>
          <w:color w:val="000000"/>
        </w:rPr>
        <w:t xml:space="preserve"> la cultura de </w:t>
      </w:r>
      <w:r>
        <w:t>compliance</w:t>
      </w:r>
      <w:r>
        <w:rPr>
          <w:color w:val="000000"/>
        </w:rPr>
        <w:t xml:space="preserve"> y </w:t>
      </w:r>
      <w:r>
        <w:t>se crearán sinergias</w:t>
      </w:r>
      <w:r>
        <w:rPr>
          <w:color w:val="000000"/>
        </w:rPr>
        <w:t xml:space="preserve"> con </w:t>
      </w:r>
      <w:r w:rsidR="00F1609C">
        <w:rPr>
          <w:color w:val="000000"/>
        </w:rPr>
        <w:t>otros partners de ASCOM</w:t>
      </w:r>
      <w:r>
        <w:rPr>
          <w:color w:val="000000"/>
        </w:rPr>
        <w:t>.</w:t>
      </w:r>
    </w:p>
    <w:p w14:paraId="574FE874" w14:textId="77777777" w:rsidR="00BB5383" w:rsidRDefault="00BB5383">
      <w:pPr>
        <w:jc w:val="both"/>
        <w:rPr>
          <w:color w:val="000000"/>
        </w:rPr>
      </w:pPr>
    </w:p>
    <w:p w14:paraId="2F958FAB" w14:textId="129D8882" w:rsidR="00BB5383" w:rsidRDefault="000534CB" w:rsidP="004C393A">
      <w:pPr>
        <w:jc w:val="both"/>
        <w:rPr>
          <w:color w:val="000000"/>
          <w:highlight w:val="yellow"/>
        </w:rPr>
      </w:pPr>
      <w:r w:rsidRPr="009B6FE0">
        <w:t xml:space="preserve">Por su parte, ASCOM amplía </w:t>
      </w:r>
      <w:r w:rsidR="00F1609C" w:rsidRPr="009B6FE0">
        <w:t>su red</w:t>
      </w:r>
      <w:r w:rsidRPr="009B6FE0">
        <w:t xml:space="preserve"> de socios corporativos, en la que SEUR será la primera </w:t>
      </w:r>
      <w:r w:rsidR="003824EB" w:rsidRPr="009B6FE0">
        <w:t xml:space="preserve">empresa </w:t>
      </w:r>
      <w:r w:rsidRPr="009B6FE0">
        <w:t xml:space="preserve">del sector CEP (Courier, Express, Parcel) en </w:t>
      </w:r>
      <w:r w:rsidR="00F1609C" w:rsidRPr="009B6FE0">
        <w:t>convertirse en miembro de la</w:t>
      </w:r>
      <w:r w:rsidRPr="009B6FE0">
        <w:t xml:space="preserve"> Asociación. Con esta incorporación ASCOM</w:t>
      </w:r>
      <w:r w:rsidR="00F1609C" w:rsidRPr="009B6FE0">
        <w:t xml:space="preserve"> también</w:t>
      </w:r>
      <w:r w:rsidRPr="009B6FE0">
        <w:t xml:space="preserve"> expande su influencia a un sector </w:t>
      </w:r>
      <w:r w:rsidR="004C393A" w:rsidRPr="009B6FE0">
        <w:t xml:space="preserve">esencial </w:t>
      </w:r>
      <w:r w:rsidRPr="009B6FE0">
        <w:t xml:space="preserve">en la economía, como se demostró durante </w:t>
      </w:r>
      <w:r w:rsidR="004C393A" w:rsidRPr="009B6FE0">
        <w:t>la crisis sanitaria del COVID-19</w:t>
      </w:r>
      <w:r w:rsidRPr="009B6FE0">
        <w:t>,</w:t>
      </w:r>
      <w:r w:rsidR="004C393A" w:rsidRPr="009B6FE0">
        <w:t xml:space="preserve"> </w:t>
      </w:r>
      <w:r w:rsidR="004C393A" w:rsidRPr="004C393A">
        <w:t xml:space="preserve">durante la cual SEUR </w:t>
      </w:r>
      <w:r w:rsidR="004C393A">
        <w:t>continuó</w:t>
      </w:r>
      <w:r w:rsidR="004C393A" w:rsidRPr="004C393A">
        <w:t xml:space="preserve"> operando y prestando servicios a toda la población. </w:t>
      </w:r>
    </w:p>
    <w:p w14:paraId="17B571AF" w14:textId="77777777" w:rsidR="00BB5383" w:rsidRDefault="00BB5383">
      <w:pPr>
        <w:jc w:val="both"/>
        <w:rPr>
          <w:color w:val="000000"/>
        </w:rPr>
      </w:pPr>
    </w:p>
    <w:p w14:paraId="26D702E5" w14:textId="202604AB" w:rsidR="00BB5383" w:rsidRDefault="000534CB">
      <w:pPr>
        <w:jc w:val="both"/>
        <w:rPr>
          <w:color w:val="000000"/>
        </w:rPr>
      </w:pPr>
      <w:r>
        <w:t>Alberto Luján</w:t>
      </w:r>
      <w:r>
        <w:rPr>
          <w:color w:val="000000"/>
        </w:rPr>
        <w:t xml:space="preserve">, </w:t>
      </w:r>
      <w:r>
        <w:t>Chief Compliance Officer</w:t>
      </w:r>
      <w:r w:rsidR="004C393A">
        <w:rPr>
          <w:color w:val="000000"/>
        </w:rPr>
        <w:t xml:space="preserve"> de SEUR señala que</w:t>
      </w:r>
      <w:r>
        <w:rPr>
          <w:color w:val="000000"/>
        </w:rPr>
        <w:t xml:space="preserve"> </w:t>
      </w:r>
      <w:r>
        <w:rPr>
          <w:i/>
          <w:color w:val="000000"/>
        </w:rPr>
        <w:t>“nuestro compromiso con las políticas de compliance y buena gobernanza es absoluto desde hace años. Con esta integración reforzamos nuestra apuesta y sumamos nuevas herramientas y socios para seguir potenciando el buen gobierno y cumplimiento que garantizamos en todas nuestras operaciones”</w:t>
      </w:r>
      <w:r>
        <w:rPr>
          <w:color w:val="000000"/>
        </w:rPr>
        <w:t xml:space="preserve">. </w:t>
      </w:r>
    </w:p>
    <w:p w14:paraId="2196C723" w14:textId="77777777" w:rsidR="00BB5383" w:rsidRDefault="00BB5383">
      <w:pPr>
        <w:jc w:val="both"/>
        <w:rPr>
          <w:color w:val="000000"/>
        </w:rPr>
      </w:pPr>
    </w:p>
    <w:p w14:paraId="3062492E" w14:textId="77777777" w:rsidR="00BB5383" w:rsidRDefault="00BB5383">
      <w:pPr>
        <w:jc w:val="both"/>
        <w:rPr>
          <w:color w:val="000000"/>
        </w:rPr>
      </w:pPr>
    </w:p>
    <w:p w14:paraId="459E3DC8" w14:textId="77777777" w:rsidR="00BB5383" w:rsidRDefault="00A116F0">
      <w:pPr>
        <w:jc w:val="both"/>
        <w:rPr>
          <w:color w:val="000000"/>
        </w:rPr>
      </w:pPr>
      <w:r>
        <w:pict w14:anchorId="7B0DC3F7">
          <v:rect id="_x0000_i1025" style="width:0;height:1.5pt" o:hralign="center" o:hrstd="t" o:hr="t" fillcolor="#a0a0a0" stroked="f"/>
        </w:pict>
      </w:r>
    </w:p>
    <w:p w14:paraId="62B4F3DA" w14:textId="77777777" w:rsidR="00BB5383" w:rsidRDefault="000534CB">
      <w:pPr>
        <w:spacing w:before="240" w:after="2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Acerca de SEUR</w:t>
      </w:r>
    </w:p>
    <w:p w14:paraId="52FBD600" w14:textId="77777777" w:rsidR="00BB5383" w:rsidRDefault="000534CB">
      <w:pPr>
        <w:spacing w:before="240" w:after="24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Nuestros 80 años de historia nos han permitido ser pioneros en el transporte urgente en España, liderando el sector con tres grandes ejes de negocio: internacional, comercio electrónico y el servicio de frío enfocado a la alimentación online.</w:t>
      </w:r>
    </w:p>
    <w:p w14:paraId="224D95BE" w14:textId="77777777" w:rsidR="00BB5383" w:rsidRDefault="00BB5383">
      <w:pPr>
        <w:keepNext/>
        <w:keepLines/>
        <w:spacing w:line="240" w:lineRule="auto"/>
        <w:jc w:val="both"/>
        <w:rPr>
          <w:color w:val="000000"/>
          <w:sz w:val="16"/>
          <w:szCs w:val="16"/>
        </w:rPr>
      </w:pPr>
    </w:p>
    <w:p w14:paraId="15766867" w14:textId="77777777" w:rsidR="00BB5383" w:rsidRDefault="000534CB">
      <w:pPr>
        <w:keepNext/>
        <w:keepLines/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Gracias a nuestros 10.000 profesionales y nuestra flota de 6.500 vehículos, damos servicio a empresas de todos los tamaños y sectores, y como parte de DPDgroup, una de las mayores redes internacionales de transporte urgente, realizamos entregas en todo el mundo.</w:t>
      </w:r>
    </w:p>
    <w:p w14:paraId="7A8FEABE" w14:textId="77777777" w:rsidR="00BB5383" w:rsidRDefault="00BB5383">
      <w:pPr>
        <w:keepNext/>
        <w:keepLines/>
        <w:spacing w:line="240" w:lineRule="auto"/>
        <w:jc w:val="both"/>
        <w:rPr>
          <w:color w:val="000000"/>
          <w:sz w:val="16"/>
          <w:szCs w:val="16"/>
        </w:rPr>
      </w:pPr>
    </w:p>
    <w:p w14:paraId="7E2D651E" w14:textId="77777777" w:rsidR="00BB5383" w:rsidRDefault="000534CB">
      <w:pPr>
        <w:keepNext/>
        <w:keepLines/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Invertimos constantemente en innovación e infraestructuras para estar más cerca de nuestros clientes y ofrecerles mayor flexibilidad a través de soluciones como Predict, sistema interactivo para concertar la entrega, o SEUR Now, para las entregas súper urgentes en una o dos horas. Apostamos por la logística sostenible con la integración de sistemas de reparto alternativos en grandes ciudades como el uso de vehículos ecológicos, hubs urbanos o nuestra red de puntos Pickup con más de 3.000 tiendas de conveniencia y lockers.</w:t>
      </w:r>
    </w:p>
    <w:p w14:paraId="2E8D37E5" w14:textId="77777777" w:rsidR="00BB5383" w:rsidRDefault="00BB5383">
      <w:pPr>
        <w:jc w:val="both"/>
        <w:rPr>
          <w:b/>
          <w:color w:val="000000"/>
          <w:sz w:val="16"/>
          <w:szCs w:val="16"/>
        </w:rPr>
      </w:pPr>
    </w:p>
    <w:p w14:paraId="7AA619BD" w14:textId="77777777" w:rsidR="00BB5383" w:rsidRDefault="00BB5383">
      <w:pPr>
        <w:keepNext/>
        <w:keepLines/>
        <w:spacing w:line="240" w:lineRule="auto"/>
        <w:jc w:val="both"/>
        <w:rPr>
          <w:sz w:val="16"/>
          <w:szCs w:val="16"/>
        </w:rPr>
      </w:pPr>
    </w:p>
    <w:p w14:paraId="513667C9" w14:textId="77777777" w:rsidR="00BB5383" w:rsidRDefault="00BB5383">
      <w:pPr>
        <w:keepNext/>
        <w:keepLines/>
        <w:spacing w:line="240" w:lineRule="auto"/>
        <w:jc w:val="both"/>
        <w:rPr>
          <w:sz w:val="16"/>
          <w:szCs w:val="16"/>
        </w:rPr>
      </w:pPr>
    </w:p>
    <w:p w14:paraId="2F387B3D" w14:textId="77777777" w:rsidR="00BB5383" w:rsidRDefault="000534CB">
      <w:pPr>
        <w:spacing w:before="240"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más información:</w:t>
      </w:r>
    </w:p>
    <w:p w14:paraId="24DC983F" w14:textId="77777777" w:rsidR="00BB5383" w:rsidRDefault="000534CB">
      <w:pPr>
        <w:spacing w:before="240" w:line="36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https://www.facebook.com/FundacionSEUR</w:t>
      </w:r>
    </w:p>
    <w:p w14:paraId="3DC96E7F" w14:textId="77777777" w:rsidR="00BB5383" w:rsidRDefault="000534CB">
      <w:pPr>
        <w:spacing w:before="240" w:line="360" w:lineRule="auto"/>
        <w:jc w:val="both"/>
        <w:rPr>
          <w:b/>
          <w:color w:val="1155CC"/>
          <w:sz w:val="16"/>
          <w:szCs w:val="16"/>
          <w:u w:val="single"/>
        </w:rPr>
      </w:pPr>
      <w:hyperlink r:id="rId9" w:anchor="!/SEUR">
        <w:r>
          <w:rPr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73A0CE28" w14:textId="77777777" w:rsidR="00BB5383" w:rsidRDefault="000534CB">
      <w:pPr>
        <w:spacing w:before="240" w:line="360" w:lineRule="auto"/>
        <w:jc w:val="both"/>
        <w:rPr>
          <w:b/>
          <w:color w:val="1155CC"/>
          <w:sz w:val="16"/>
          <w:szCs w:val="16"/>
          <w:u w:val="single"/>
        </w:rPr>
      </w:pPr>
      <w:hyperlink r:id="rId10">
        <w:r>
          <w:rPr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7B11D46E" w14:textId="77777777" w:rsidR="00BB5383" w:rsidRDefault="000534CB">
      <w:pPr>
        <w:spacing w:before="240" w:line="360" w:lineRule="auto"/>
        <w:jc w:val="both"/>
        <w:rPr>
          <w:b/>
          <w:color w:val="1155CC"/>
          <w:sz w:val="16"/>
          <w:szCs w:val="16"/>
          <w:u w:val="single"/>
        </w:rPr>
      </w:pPr>
      <w:hyperlink r:id="rId11">
        <w:r>
          <w:rPr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760F828F" w14:textId="77777777" w:rsidR="00BB5383" w:rsidRDefault="000534CB">
      <w:pPr>
        <w:spacing w:before="24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Gabinete de prensa / Agencia de comunicación SEUR</w:t>
      </w:r>
    </w:p>
    <w:tbl>
      <w:tblPr>
        <w:tblStyle w:val="a1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BB5383" w14:paraId="7E2E270D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8DE" w14:textId="77777777" w:rsidR="00BB5383" w:rsidRDefault="000534CB">
            <w:pPr>
              <w:spacing w:before="240" w:line="360" w:lineRule="auto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Marina Méndez/ Eugenia Llorca/ Beatriz Molero</w:t>
            </w:r>
          </w:p>
          <w:p w14:paraId="33C54C4C" w14:textId="77777777" w:rsidR="00BB5383" w:rsidRPr="00724694" w:rsidRDefault="000534CB">
            <w:pPr>
              <w:spacing w:before="240" w:line="360" w:lineRule="auto"/>
              <w:ind w:left="120"/>
              <w:jc w:val="both"/>
              <w:rPr>
                <w:b/>
                <w:sz w:val="16"/>
                <w:szCs w:val="16"/>
                <w:lang w:val="en-GB"/>
              </w:rPr>
            </w:pPr>
            <w:r w:rsidRPr="00724694">
              <w:rPr>
                <w:b/>
                <w:sz w:val="16"/>
                <w:szCs w:val="16"/>
                <w:lang w:val="en-GB"/>
              </w:rPr>
              <w:t>SEUR</w:t>
            </w:r>
          </w:p>
          <w:p w14:paraId="0F7A7CE4" w14:textId="77777777" w:rsidR="00BB5383" w:rsidRPr="00724694" w:rsidRDefault="000534CB">
            <w:pPr>
              <w:spacing w:before="240" w:line="360" w:lineRule="auto"/>
              <w:ind w:left="120"/>
              <w:jc w:val="both"/>
              <w:rPr>
                <w:b/>
                <w:color w:val="0563C1"/>
                <w:sz w:val="16"/>
                <w:szCs w:val="16"/>
                <w:u w:val="single"/>
                <w:lang w:val="en-GB"/>
              </w:rPr>
            </w:pPr>
            <w:r w:rsidRPr="00724694">
              <w:rPr>
                <w:b/>
                <w:color w:val="0563C1"/>
                <w:sz w:val="16"/>
                <w:szCs w:val="16"/>
                <w:u w:val="single"/>
                <w:lang w:val="en-GB"/>
              </w:rPr>
              <w:t>marina.mendez@seur.net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F877" w14:textId="77777777" w:rsidR="00BB5383" w:rsidRDefault="000534CB">
            <w:pPr>
              <w:spacing w:before="240" w:line="360" w:lineRule="auto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Elena Barrera / Rubén Santiago / Irea López</w:t>
            </w:r>
          </w:p>
          <w:p w14:paraId="0AE9CB92" w14:textId="77777777" w:rsidR="00BB5383" w:rsidRPr="00724694" w:rsidRDefault="000534CB">
            <w:pPr>
              <w:spacing w:before="240" w:line="360" w:lineRule="auto"/>
              <w:ind w:left="120"/>
              <w:jc w:val="both"/>
              <w:rPr>
                <w:b/>
                <w:sz w:val="16"/>
                <w:szCs w:val="16"/>
                <w:lang w:val="en-GB"/>
              </w:rPr>
            </w:pPr>
            <w:r w:rsidRPr="00724694">
              <w:rPr>
                <w:b/>
                <w:sz w:val="16"/>
                <w:szCs w:val="16"/>
                <w:lang w:val="en-GB"/>
              </w:rPr>
              <w:t>TINKLE</w:t>
            </w:r>
          </w:p>
          <w:p w14:paraId="46334774" w14:textId="77777777" w:rsidR="00BB5383" w:rsidRPr="00724694" w:rsidRDefault="000534CB">
            <w:pPr>
              <w:spacing w:before="240" w:line="360" w:lineRule="auto"/>
              <w:ind w:left="120"/>
              <w:jc w:val="both"/>
              <w:rPr>
                <w:b/>
                <w:sz w:val="16"/>
                <w:szCs w:val="16"/>
                <w:lang w:val="en-GB"/>
              </w:rPr>
            </w:pPr>
            <w:r w:rsidRPr="00724694">
              <w:rPr>
                <w:b/>
                <w:sz w:val="16"/>
                <w:szCs w:val="16"/>
                <w:lang w:val="en-GB"/>
              </w:rPr>
              <w:t xml:space="preserve">91 702 10 10 </w:t>
            </w:r>
          </w:p>
          <w:p w14:paraId="3848F572" w14:textId="77777777" w:rsidR="00BB5383" w:rsidRPr="00724694" w:rsidRDefault="000534CB">
            <w:pPr>
              <w:spacing w:before="240" w:line="360" w:lineRule="auto"/>
              <w:ind w:left="120"/>
              <w:jc w:val="both"/>
              <w:rPr>
                <w:b/>
                <w:color w:val="0563C1"/>
                <w:sz w:val="16"/>
                <w:szCs w:val="16"/>
                <w:lang w:val="en-GB"/>
              </w:rPr>
            </w:pPr>
            <w:r w:rsidRPr="00724694">
              <w:rPr>
                <w:b/>
                <w:color w:val="0563C1"/>
                <w:sz w:val="16"/>
                <w:szCs w:val="16"/>
                <w:lang w:val="en-GB"/>
              </w:rPr>
              <w:t>ebarrera@tinkle.es</w:t>
            </w:r>
          </w:p>
          <w:p w14:paraId="61FCFB1E" w14:textId="77777777" w:rsidR="00BB5383" w:rsidRPr="00724694" w:rsidRDefault="000534CB">
            <w:pPr>
              <w:spacing w:before="240" w:line="360" w:lineRule="auto"/>
              <w:ind w:left="120"/>
              <w:jc w:val="both"/>
              <w:rPr>
                <w:b/>
                <w:color w:val="0563C1"/>
                <w:sz w:val="16"/>
                <w:szCs w:val="16"/>
                <w:lang w:val="en-GB"/>
              </w:rPr>
            </w:pPr>
            <w:r w:rsidRPr="00724694">
              <w:rPr>
                <w:b/>
                <w:color w:val="0563C1"/>
                <w:sz w:val="16"/>
                <w:szCs w:val="16"/>
                <w:lang w:val="en-GB"/>
              </w:rPr>
              <w:t>rsantiago@tinkle.es</w:t>
            </w:r>
          </w:p>
          <w:p w14:paraId="413A8C88" w14:textId="77777777" w:rsidR="00BB5383" w:rsidRDefault="000534CB">
            <w:pPr>
              <w:spacing w:before="240" w:line="360" w:lineRule="auto"/>
              <w:ind w:left="120"/>
              <w:jc w:val="both"/>
              <w:rPr>
                <w:b/>
                <w:color w:val="0563C1"/>
                <w:sz w:val="16"/>
                <w:szCs w:val="16"/>
              </w:rPr>
            </w:pPr>
            <w:r>
              <w:rPr>
                <w:b/>
                <w:color w:val="0563C1"/>
                <w:sz w:val="16"/>
                <w:szCs w:val="16"/>
              </w:rPr>
              <w:t>ilopez@tinkle.es</w:t>
            </w:r>
          </w:p>
        </w:tc>
      </w:tr>
    </w:tbl>
    <w:p w14:paraId="4B9D2245" w14:textId="77777777" w:rsidR="00BB5383" w:rsidRDefault="00BB5383">
      <w:pPr>
        <w:spacing w:before="240" w:after="240"/>
        <w:jc w:val="both"/>
      </w:pPr>
    </w:p>
    <w:p w14:paraId="66389757" w14:textId="77777777" w:rsidR="00BB5383" w:rsidRDefault="00BB5383"/>
    <w:p w14:paraId="2412E27D" w14:textId="77777777" w:rsidR="00BB5383" w:rsidRDefault="00BB5383">
      <w:pPr>
        <w:jc w:val="both"/>
      </w:pPr>
    </w:p>
    <w:p w14:paraId="03878EE2" w14:textId="77777777" w:rsidR="00BB5383" w:rsidRDefault="00BB5383">
      <w:pPr>
        <w:jc w:val="both"/>
      </w:pPr>
    </w:p>
    <w:p w14:paraId="028133CB" w14:textId="77777777" w:rsidR="00BB5383" w:rsidRDefault="00BB5383">
      <w:pPr>
        <w:jc w:val="both"/>
      </w:pPr>
    </w:p>
    <w:p w14:paraId="31ACB55C" w14:textId="77777777" w:rsidR="00BB5383" w:rsidRDefault="00BB5383">
      <w:pPr>
        <w:jc w:val="both"/>
      </w:pPr>
    </w:p>
    <w:p w14:paraId="49B65042" w14:textId="77777777" w:rsidR="00BB5383" w:rsidRDefault="00BB5383">
      <w:pPr>
        <w:jc w:val="both"/>
      </w:pPr>
    </w:p>
    <w:p w14:paraId="7231C98B" w14:textId="77777777" w:rsidR="00BB5383" w:rsidRDefault="00BB5383">
      <w:pPr>
        <w:jc w:val="both"/>
      </w:pPr>
    </w:p>
    <w:sectPr w:rsidR="00BB5383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506C" w14:textId="77777777" w:rsidR="00E47B42" w:rsidRDefault="000534CB">
      <w:pPr>
        <w:spacing w:line="240" w:lineRule="auto"/>
      </w:pPr>
      <w:r>
        <w:separator/>
      </w:r>
    </w:p>
  </w:endnote>
  <w:endnote w:type="continuationSeparator" w:id="0">
    <w:p w14:paraId="78802530" w14:textId="77777777" w:rsidR="00E47B42" w:rsidRDefault="0005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DF47" w14:textId="77777777" w:rsidR="00E47B42" w:rsidRDefault="000534CB">
      <w:pPr>
        <w:spacing w:line="240" w:lineRule="auto"/>
      </w:pPr>
      <w:r>
        <w:separator/>
      </w:r>
    </w:p>
  </w:footnote>
  <w:footnote w:type="continuationSeparator" w:id="0">
    <w:p w14:paraId="13E5C30F" w14:textId="77777777" w:rsidR="00E47B42" w:rsidRDefault="00053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7A69" w14:textId="77777777" w:rsidR="00BB5383" w:rsidRDefault="000534CB">
    <w:pPr>
      <w:tabs>
        <w:tab w:val="center" w:pos="4252"/>
        <w:tab w:val="right" w:pos="8504"/>
      </w:tabs>
      <w:spacing w:line="240" w:lineRule="auto"/>
      <w:rPr>
        <w:color w:val="000000"/>
      </w:rPr>
    </w:pPr>
    <w:r>
      <w:t xml:space="preserve">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1445AD1" wp14:editId="065CBCA6">
          <wp:simplePos x="0" y="0"/>
          <wp:positionH relativeFrom="column">
            <wp:posOffset>4169100</wp:posOffset>
          </wp:positionH>
          <wp:positionV relativeFrom="paragraph">
            <wp:posOffset>-266697</wp:posOffset>
          </wp:positionV>
          <wp:extent cx="1563027" cy="65253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3027" cy="652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526CC"/>
    <w:multiLevelType w:val="multilevel"/>
    <w:tmpl w:val="32B47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012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83"/>
    <w:rsid w:val="000534CB"/>
    <w:rsid w:val="003824EB"/>
    <w:rsid w:val="004C393A"/>
    <w:rsid w:val="006473C7"/>
    <w:rsid w:val="00724694"/>
    <w:rsid w:val="00754F1C"/>
    <w:rsid w:val="008B7D12"/>
    <w:rsid w:val="009B6FE0"/>
    <w:rsid w:val="00A116F0"/>
    <w:rsid w:val="00B660B9"/>
    <w:rsid w:val="00BB5383"/>
    <w:rsid w:val="00CD53E6"/>
    <w:rsid w:val="00E47B42"/>
    <w:rsid w:val="00F1609C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18C17"/>
  <w15:docId w15:val="{1203432D-6DB4-4E67-8A2C-F0FE5135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750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50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50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012"/>
    <w:rPr>
      <w:b/>
      <w:bCs/>
      <w:sz w:val="20"/>
      <w:szCs w:val="20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724694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9B6F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ociacioncomplianc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eur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company/S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22mcoDBzx6Z0avNDjLaUglDrpw==">AMUW2mXI85oV+bvEbfG3AVKRpAfdRonOs+XmTwLTcoHD4ancn5AiG+fzKqTnnHGf355eqZdcjtc+dMOJf0ZcR4BTWI8cofCqx/8Lo0CPOZlpus/Qy7fiqIc=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Barrera, Elena (Tinkle)</dc:creator>
  <cp:lastModifiedBy>Virginia Sanchez</cp:lastModifiedBy>
  <cp:revision>4</cp:revision>
  <dcterms:created xsi:type="dcterms:W3CDTF">2022-07-26T08:42:00Z</dcterms:created>
  <dcterms:modified xsi:type="dcterms:W3CDTF">2025-05-28T14:03:00Z</dcterms:modified>
</cp:coreProperties>
</file>